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053E" w14:textId="77777777" w:rsidR="00BE3CD6" w:rsidRDefault="00BE3CD6">
      <w:pPr>
        <w:rPr>
          <w:b/>
        </w:rPr>
      </w:pPr>
    </w:p>
    <w:p w14:paraId="1F642804" w14:textId="77777777" w:rsidR="008E6DF2" w:rsidRPr="00646696" w:rsidRDefault="00BE3CD6" w:rsidP="00646696">
      <w:pPr>
        <w:pStyle w:val="Heading1"/>
        <w:jc w:val="center"/>
        <w:rPr>
          <w:b/>
        </w:rPr>
      </w:pPr>
      <w:bookmarkStart w:id="0" w:name="_Toc144717584"/>
      <w:r w:rsidRPr="00646696">
        <w:rPr>
          <w:b/>
        </w:rPr>
        <w:t xml:space="preserve">Data Protection </w:t>
      </w:r>
      <w:r w:rsidR="008E6DF2" w:rsidRPr="00646696">
        <w:rPr>
          <w:b/>
        </w:rPr>
        <w:t>G</w:t>
      </w:r>
      <w:r w:rsidRPr="00646696">
        <w:rPr>
          <w:b/>
        </w:rPr>
        <w:t>eneral Guidance for Congregations</w:t>
      </w:r>
      <w:bookmarkEnd w:id="0"/>
    </w:p>
    <w:sdt>
      <w:sdtPr>
        <w:rPr>
          <w:rFonts w:asciiTheme="minorHAnsi" w:eastAsiaTheme="minorHAnsi" w:hAnsiTheme="minorHAnsi" w:cstheme="minorBidi"/>
          <w:color w:val="auto"/>
          <w:sz w:val="22"/>
          <w:szCs w:val="22"/>
          <w:lang w:val="en-GB"/>
        </w:rPr>
        <w:id w:val="-877383893"/>
        <w:docPartObj>
          <w:docPartGallery w:val="Table of Contents"/>
          <w:docPartUnique/>
        </w:docPartObj>
      </w:sdtPr>
      <w:sdtEndPr>
        <w:rPr>
          <w:b/>
          <w:bCs/>
          <w:noProof/>
        </w:rPr>
      </w:sdtEndPr>
      <w:sdtContent>
        <w:p w14:paraId="605FEB1B" w14:textId="77777777" w:rsidR="00646696" w:rsidRPr="00646696" w:rsidRDefault="00646696">
          <w:pPr>
            <w:pStyle w:val="TOCHeading"/>
            <w:rPr>
              <w:b/>
            </w:rPr>
          </w:pPr>
          <w:r w:rsidRPr="00646696">
            <w:rPr>
              <w:b/>
            </w:rPr>
            <w:t>Contents</w:t>
          </w:r>
        </w:p>
        <w:p w14:paraId="5ACB59DA" w14:textId="77777777" w:rsidR="00761315" w:rsidRDefault="00646696">
          <w:pPr>
            <w:pStyle w:val="TOC1"/>
            <w:tabs>
              <w:tab w:val="right" w:leader="dot" w:pos="9016"/>
            </w:tabs>
            <w:rPr>
              <w:rFonts w:eastAsiaTheme="minorEastAsia"/>
              <w:noProof/>
              <w:lang w:eastAsia="en-GB"/>
            </w:rPr>
          </w:pPr>
          <w:r w:rsidRPr="00646696">
            <w:rPr>
              <w:b/>
            </w:rPr>
            <w:fldChar w:fldCharType="begin"/>
          </w:r>
          <w:r w:rsidRPr="00646696">
            <w:rPr>
              <w:b/>
            </w:rPr>
            <w:instrText xml:space="preserve"> TOC \o "1-3" \h \z \u </w:instrText>
          </w:r>
          <w:r w:rsidRPr="00646696">
            <w:rPr>
              <w:b/>
            </w:rPr>
            <w:fldChar w:fldCharType="separate"/>
          </w:r>
          <w:hyperlink w:anchor="_Toc144717584" w:history="1">
            <w:r w:rsidR="00761315" w:rsidRPr="00FC3EC3">
              <w:rPr>
                <w:rStyle w:val="Hyperlink"/>
                <w:b/>
                <w:noProof/>
              </w:rPr>
              <w:t>Data Protection General Guidance for Congregations</w:t>
            </w:r>
            <w:r w:rsidR="00761315">
              <w:rPr>
                <w:noProof/>
                <w:webHidden/>
              </w:rPr>
              <w:tab/>
            </w:r>
            <w:r w:rsidR="00761315">
              <w:rPr>
                <w:noProof/>
                <w:webHidden/>
              </w:rPr>
              <w:fldChar w:fldCharType="begin"/>
            </w:r>
            <w:r w:rsidR="00761315">
              <w:rPr>
                <w:noProof/>
                <w:webHidden/>
              </w:rPr>
              <w:instrText xml:space="preserve"> PAGEREF _Toc144717584 \h </w:instrText>
            </w:r>
            <w:r w:rsidR="00761315">
              <w:rPr>
                <w:noProof/>
                <w:webHidden/>
              </w:rPr>
            </w:r>
            <w:r w:rsidR="00761315">
              <w:rPr>
                <w:noProof/>
                <w:webHidden/>
              </w:rPr>
              <w:fldChar w:fldCharType="separate"/>
            </w:r>
            <w:r w:rsidR="00761315">
              <w:rPr>
                <w:noProof/>
                <w:webHidden/>
              </w:rPr>
              <w:t>1</w:t>
            </w:r>
            <w:r w:rsidR="00761315">
              <w:rPr>
                <w:noProof/>
                <w:webHidden/>
              </w:rPr>
              <w:fldChar w:fldCharType="end"/>
            </w:r>
          </w:hyperlink>
        </w:p>
        <w:p w14:paraId="4642E161" w14:textId="77777777" w:rsidR="00761315" w:rsidRDefault="008D67F9">
          <w:pPr>
            <w:pStyle w:val="TOC1"/>
            <w:tabs>
              <w:tab w:val="left" w:pos="440"/>
              <w:tab w:val="right" w:leader="dot" w:pos="9016"/>
            </w:tabs>
            <w:rPr>
              <w:rFonts w:eastAsiaTheme="minorEastAsia"/>
              <w:noProof/>
              <w:lang w:eastAsia="en-GB"/>
            </w:rPr>
          </w:pPr>
          <w:hyperlink w:anchor="_Toc144717585" w:history="1">
            <w:r w:rsidR="00761315" w:rsidRPr="00FC3EC3">
              <w:rPr>
                <w:rStyle w:val="Hyperlink"/>
                <w:b/>
                <w:noProof/>
              </w:rPr>
              <w:t>1.</w:t>
            </w:r>
            <w:r w:rsidR="00761315">
              <w:rPr>
                <w:rFonts w:eastAsiaTheme="minorEastAsia"/>
                <w:noProof/>
                <w:lang w:eastAsia="en-GB"/>
              </w:rPr>
              <w:tab/>
            </w:r>
            <w:r w:rsidR="00761315" w:rsidRPr="00FC3EC3">
              <w:rPr>
                <w:rStyle w:val="Hyperlink"/>
                <w:b/>
                <w:noProof/>
              </w:rPr>
              <w:t>Introduction</w:t>
            </w:r>
            <w:r w:rsidR="00761315">
              <w:rPr>
                <w:noProof/>
                <w:webHidden/>
              </w:rPr>
              <w:tab/>
            </w:r>
            <w:r w:rsidR="00761315">
              <w:rPr>
                <w:noProof/>
                <w:webHidden/>
              </w:rPr>
              <w:fldChar w:fldCharType="begin"/>
            </w:r>
            <w:r w:rsidR="00761315">
              <w:rPr>
                <w:noProof/>
                <w:webHidden/>
              </w:rPr>
              <w:instrText xml:space="preserve"> PAGEREF _Toc144717585 \h </w:instrText>
            </w:r>
            <w:r w:rsidR="00761315">
              <w:rPr>
                <w:noProof/>
                <w:webHidden/>
              </w:rPr>
            </w:r>
            <w:r w:rsidR="00761315">
              <w:rPr>
                <w:noProof/>
                <w:webHidden/>
              </w:rPr>
              <w:fldChar w:fldCharType="separate"/>
            </w:r>
            <w:r w:rsidR="00761315">
              <w:rPr>
                <w:noProof/>
                <w:webHidden/>
              </w:rPr>
              <w:t>2</w:t>
            </w:r>
            <w:r w:rsidR="00761315">
              <w:rPr>
                <w:noProof/>
                <w:webHidden/>
              </w:rPr>
              <w:fldChar w:fldCharType="end"/>
            </w:r>
          </w:hyperlink>
        </w:p>
        <w:p w14:paraId="0ECD1045" w14:textId="77777777" w:rsidR="00761315" w:rsidRDefault="008D67F9">
          <w:pPr>
            <w:pStyle w:val="TOC1"/>
            <w:tabs>
              <w:tab w:val="left" w:pos="440"/>
              <w:tab w:val="right" w:leader="dot" w:pos="9016"/>
            </w:tabs>
            <w:rPr>
              <w:rFonts w:eastAsiaTheme="minorEastAsia"/>
              <w:noProof/>
              <w:lang w:eastAsia="en-GB"/>
            </w:rPr>
          </w:pPr>
          <w:hyperlink w:anchor="_Toc144717586" w:history="1">
            <w:r w:rsidR="00761315" w:rsidRPr="00FC3EC3">
              <w:rPr>
                <w:rStyle w:val="Hyperlink"/>
                <w:b/>
                <w:noProof/>
              </w:rPr>
              <w:t>2.</w:t>
            </w:r>
            <w:r w:rsidR="00761315">
              <w:rPr>
                <w:rFonts w:eastAsiaTheme="minorEastAsia"/>
                <w:noProof/>
                <w:lang w:eastAsia="en-GB"/>
              </w:rPr>
              <w:tab/>
            </w:r>
            <w:r w:rsidR="00761315" w:rsidRPr="00FC3EC3">
              <w:rPr>
                <w:rStyle w:val="Hyperlink"/>
                <w:b/>
                <w:noProof/>
              </w:rPr>
              <w:t>The Key Definitions</w:t>
            </w:r>
            <w:r w:rsidR="00761315">
              <w:rPr>
                <w:noProof/>
                <w:webHidden/>
              </w:rPr>
              <w:tab/>
            </w:r>
            <w:r w:rsidR="00761315">
              <w:rPr>
                <w:noProof/>
                <w:webHidden/>
              </w:rPr>
              <w:fldChar w:fldCharType="begin"/>
            </w:r>
            <w:r w:rsidR="00761315">
              <w:rPr>
                <w:noProof/>
                <w:webHidden/>
              </w:rPr>
              <w:instrText xml:space="preserve"> PAGEREF _Toc144717586 \h </w:instrText>
            </w:r>
            <w:r w:rsidR="00761315">
              <w:rPr>
                <w:noProof/>
                <w:webHidden/>
              </w:rPr>
            </w:r>
            <w:r w:rsidR="00761315">
              <w:rPr>
                <w:noProof/>
                <w:webHidden/>
              </w:rPr>
              <w:fldChar w:fldCharType="separate"/>
            </w:r>
            <w:r w:rsidR="00761315">
              <w:rPr>
                <w:noProof/>
                <w:webHidden/>
              </w:rPr>
              <w:t>2</w:t>
            </w:r>
            <w:r w:rsidR="00761315">
              <w:rPr>
                <w:noProof/>
                <w:webHidden/>
              </w:rPr>
              <w:fldChar w:fldCharType="end"/>
            </w:r>
          </w:hyperlink>
        </w:p>
        <w:p w14:paraId="6BF5EC39" w14:textId="77777777" w:rsidR="00761315" w:rsidRDefault="008D67F9">
          <w:pPr>
            <w:pStyle w:val="TOC1"/>
            <w:tabs>
              <w:tab w:val="left" w:pos="440"/>
              <w:tab w:val="right" w:leader="dot" w:pos="9016"/>
            </w:tabs>
            <w:rPr>
              <w:rFonts w:eastAsiaTheme="minorEastAsia"/>
              <w:noProof/>
              <w:lang w:eastAsia="en-GB"/>
            </w:rPr>
          </w:pPr>
          <w:hyperlink w:anchor="_Toc144717587" w:history="1">
            <w:r w:rsidR="00761315" w:rsidRPr="00761315">
              <w:rPr>
                <w:rStyle w:val="Hyperlink"/>
                <w:b/>
                <w:noProof/>
              </w:rPr>
              <w:t>3.</w:t>
            </w:r>
            <w:r w:rsidR="00761315" w:rsidRPr="00761315">
              <w:rPr>
                <w:rFonts w:eastAsiaTheme="minorEastAsia"/>
                <w:b/>
                <w:noProof/>
                <w:lang w:eastAsia="en-GB"/>
              </w:rPr>
              <w:tab/>
            </w:r>
            <w:r w:rsidR="00761315" w:rsidRPr="00761315">
              <w:rPr>
                <w:rStyle w:val="Hyperlink"/>
                <w:b/>
                <w:noProof/>
              </w:rPr>
              <w:t>Special category data</w:t>
            </w:r>
            <w:r w:rsidR="00761315">
              <w:rPr>
                <w:noProof/>
                <w:webHidden/>
              </w:rPr>
              <w:tab/>
            </w:r>
            <w:r w:rsidR="00761315">
              <w:rPr>
                <w:noProof/>
                <w:webHidden/>
              </w:rPr>
              <w:fldChar w:fldCharType="begin"/>
            </w:r>
            <w:r w:rsidR="00761315">
              <w:rPr>
                <w:noProof/>
                <w:webHidden/>
              </w:rPr>
              <w:instrText xml:space="preserve"> PAGEREF _Toc144717587 \h </w:instrText>
            </w:r>
            <w:r w:rsidR="00761315">
              <w:rPr>
                <w:noProof/>
                <w:webHidden/>
              </w:rPr>
            </w:r>
            <w:r w:rsidR="00761315">
              <w:rPr>
                <w:noProof/>
                <w:webHidden/>
              </w:rPr>
              <w:fldChar w:fldCharType="separate"/>
            </w:r>
            <w:r w:rsidR="00761315">
              <w:rPr>
                <w:noProof/>
                <w:webHidden/>
              </w:rPr>
              <w:t>3</w:t>
            </w:r>
            <w:r w:rsidR="00761315">
              <w:rPr>
                <w:noProof/>
                <w:webHidden/>
              </w:rPr>
              <w:fldChar w:fldCharType="end"/>
            </w:r>
          </w:hyperlink>
        </w:p>
        <w:p w14:paraId="547439A5" w14:textId="77777777" w:rsidR="00761315" w:rsidRDefault="008D67F9">
          <w:pPr>
            <w:pStyle w:val="TOC2"/>
            <w:tabs>
              <w:tab w:val="left" w:pos="880"/>
              <w:tab w:val="right" w:leader="dot" w:pos="9016"/>
            </w:tabs>
            <w:rPr>
              <w:rFonts w:eastAsiaTheme="minorEastAsia"/>
              <w:noProof/>
              <w:lang w:eastAsia="en-GB"/>
            </w:rPr>
          </w:pPr>
          <w:hyperlink w:anchor="_Toc144717591" w:history="1">
            <w:r w:rsidR="00761315" w:rsidRPr="00FC3EC3">
              <w:rPr>
                <w:rStyle w:val="Hyperlink"/>
                <w:noProof/>
              </w:rPr>
              <w:t>3.1.</w:t>
            </w:r>
            <w:r w:rsidR="00761315">
              <w:rPr>
                <w:rFonts w:eastAsiaTheme="minorEastAsia"/>
                <w:noProof/>
                <w:lang w:eastAsia="en-GB"/>
              </w:rPr>
              <w:tab/>
            </w:r>
            <w:r w:rsidR="00761315" w:rsidRPr="00FC3EC3">
              <w:rPr>
                <w:rStyle w:val="Hyperlink"/>
                <w:noProof/>
              </w:rPr>
              <w:t>How should special category data be handled?</w:t>
            </w:r>
            <w:r w:rsidR="00761315">
              <w:rPr>
                <w:noProof/>
                <w:webHidden/>
              </w:rPr>
              <w:tab/>
            </w:r>
            <w:r w:rsidR="00761315">
              <w:rPr>
                <w:noProof/>
                <w:webHidden/>
              </w:rPr>
              <w:fldChar w:fldCharType="begin"/>
            </w:r>
            <w:r w:rsidR="00761315">
              <w:rPr>
                <w:noProof/>
                <w:webHidden/>
              </w:rPr>
              <w:instrText xml:space="preserve"> PAGEREF _Toc144717591 \h </w:instrText>
            </w:r>
            <w:r w:rsidR="00761315">
              <w:rPr>
                <w:noProof/>
                <w:webHidden/>
              </w:rPr>
            </w:r>
            <w:r w:rsidR="00761315">
              <w:rPr>
                <w:noProof/>
                <w:webHidden/>
              </w:rPr>
              <w:fldChar w:fldCharType="separate"/>
            </w:r>
            <w:r w:rsidR="00761315">
              <w:rPr>
                <w:noProof/>
                <w:webHidden/>
              </w:rPr>
              <w:t>4</w:t>
            </w:r>
            <w:r w:rsidR="00761315">
              <w:rPr>
                <w:noProof/>
                <w:webHidden/>
              </w:rPr>
              <w:fldChar w:fldCharType="end"/>
            </w:r>
          </w:hyperlink>
        </w:p>
        <w:p w14:paraId="09D4615C" w14:textId="77777777" w:rsidR="00761315" w:rsidRDefault="008D67F9">
          <w:pPr>
            <w:pStyle w:val="TOC2"/>
            <w:tabs>
              <w:tab w:val="left" w:pos="880"/>
              <w:tab w:val="right" w:leader="dot" w:pos="9016"/>
            </w:tabs>
            <w:rPr>
              <w:rFonts w:eastAsiaTheme="minorEastAsia"/>
              <w:noProof/>
              <w:lang w:eastAsia="en-GB"/>
            </w:rPr>
          </w:pPr>
          <w:hyperlink w:anchor="_Toc144717596" w:history="1">
            <w:r w:rsidR="00761315" w:rsidRPr="00FC3EC3">
              <w:rPr>
                <w:rStyle w:val="Hyperlink"/>
                <w:noProof/>
              </w:rPr>
              <w:t>3.2.</w:t>
            </w:r>
            <w:r w:rsidR="00761315">
              <w:rPr>
                <w:rFonts w:eastAsiaTheme="minorEastAsia"/>
                <w:noProof/>
                <w:lang w:eastAsia="en-GB"/>
              </w:rPr>
              <w:tab/>
            </w:r>
            <w:r w:rsidR="00761315" w:rsidRPr="00FC3EC3">
              <w:rPr>
                <w:rStyle w:val="Hyperlink"/>
                <w:noProof/>
              </w:rPr>
              <w:t>How should data be handled for the purpose of the inspection of records?</w:t>
            </w:r>
            <w:r w:rsidR="00761315">
              <w:rPr>
                <w:noProof/>
                <w:webHidden/>
              </w:rPr>
              <w:tab/>
            </w:r>
            <w:r w:rsidR="00761315">
              <w:rPr>
                <w:noProof/>
                <w:webHidden/>
              </w:rPr>
              <w:fldChar w:fldCharType="begin"/>
            </w:r>
            <w:r w:rsidR="00761315">
              <w:rPr>
                <w:noProof/>
                <w:webHidden/>
              </w:rPr>
              <w:instrText xml:space="preserve"> PAGEREF _Toc144717596 \h </w:instrText>
            </w:r>
            <w:r w:rsidR="00761315">
              <w:rPr>
                <w:noProof/>
                <w:webHidden/>
              </w:rPr>
            </w:r>
            <w:r w:rsidR="00761315">
              <w:rPr>
                <w:noProof/>
                <w:webHidden/>
              </w:rPr>
              <w:fldChar w:fldCharType="separate"/>
            </w:r>
            <w:r w:rsidR="00761315">
              <w:rPr>
                <w:noProof/>
                <w:webHidden/>
              </w:rPr>
              <w:t>5</w:t>
            </w:r>
            <w:r w:rsidR="00761315">
              <w:rPr>
                <w:noProof/>
                <w:webHidden/>
              </w:rPr>
              <w:fldChar w:fldCharType="end"/>
            </w:r>
          </w:hyperlink>
        </w:p>
        <w:p w14:paraId="33A7C7E9" w14:textId="77777777" w:rsidR="00761315" w:rsidRDefault="008D67F9">
          <w:pPr>
            <w:pStyle w:val="TOC1"/>
            <w:tabs>
              <w:tab w:val="left" w:pos="440"/>
              <w:tab w:val="right" w:leader="dot" w:pos="9016"/>
            </w:tabs>
            <w:rPr>
              <w:rFonts w:eastAsiaTheme="minorEastAsia"/>
              <w:noProof/>
              <w:lang w:eastAsia="en-GB"/>
            </w:rPr>
          </w:pPr>
          <w:hyperlink w:anchor="_Toc144717597" w:history="1">
            <w:r w:rsidR="00761315" w:rsidRPr="00761315">
              <w:rPr>
                <w:rStyle w:val="Hyperlink"/>
                <w:b/>
                <w:noProof/>
              </w:rPr>
              <w:t>4.</w:t>
            </w:r>
            <w:r w:rsidR="00761315" w:rsidRPr="00761315">
              <w:rPr>
                <w:rFonts w:eastAsiaTheme="minorEastAsia"/>
                <w:b/>
                <w:noProof/>
                <w:lang w:eastAsia="en-GB"/>
              </w:rPr>
              <w:tab/>
            </w:r>
            <w:r w:rsidR="00761315" w:rsidRPr="00761315">
              <w:rPr>
                <w:rStyle w:val="Hyperlink"/>
                <w:b/>
                <w:noProof/>
              </w:rPr>
              <w:t>The Data Protection Principles</w:t>
            </w:r>
            <w:r w:rsidR="00761315">
              <w:rPr>
                <w:noProof/>
                <w:webHidden/>
              </w:rPr>
              <w:tab/>
            </w:r>
            <w:r w:rsidR="00761315">
              <w:rPr>
                <w:noProof/>
                <w:webHidden/>
              </w:rPr>
              <w:fldChar w:fldCharType="begin"/>
            </w:r>
            <w:r w:rsidR="00761315">
              <w:rPr>
                <w:noProof/>
                <w:webHidden/>
              </w:rPr>
              <w:instrText xml:space="preserve"> PAGEREF _Toc144717597 \h </w:instrText>
            </w:r>
            <w:r w:rsidR="00761315">
              <w:rPr>
                <w:noProof/>
                <w:webHidden/>
              </w:rPr>
            </w:r>
            <w:r w:rsidR="00761315">
              <w:rPr>
                <w:noProof/>
                <w:webHidden/>
              </w:rPr>
              <w:fldChar w:fldCharType="separate"/>
            </w:r>
            <w:r w:rsidR="00761315">
              <w:rPr>
                <w:noProof/>
                <w:webHidden/>
              </w:rPr>
              <w:t>5</w:t>
            </w:r>
            <w:r w:rsidR="00761315">
              <w:rPr>
                <w:noProof/>
                <w:webHidden/>
              </w:rPr>
              <w:fldChar w:fldCharType="end"/>
            </w:r>
          </w:hyperlink>
        </w:p>
        <w:p w14:paraId="46AD060B" w14:textId="77777777" w:rsidR="00761315" w:rsidRDefault="008D67F9">
          <w:pPr>
            <w:pStyle w:val="TOC2"/>
            <w:tabs>
              <w:tab w:val="right" w:leader="dot" w:pos="9016"/>
            </w:tabs>
            <w:rPr>
              <w:rFonts w:eastAsiaTheme="minorEastAsia"/>
              <w:noProof/>
              <w:lang w:eastAsia="en-GB"/>
            </w:rPr>
          </w:pPr>
          <w:hyperlink w:anchor="_Toc144717598" w:history="1">
            <w:r w:rsidR="00761315" w:rsidRPr="00FC3EC3">
              <w:rPr>
                <w:rStyle w:val="Hyperlink"/>
                <w:noProof/>
              </w:rPr>
              <w:t>Principle 1 - Lawfulness, fairness and transparency</w:t>
            </w:r>
            <w:r w:rsidR="00761315">
              <w:rPr>
                <w:noProof/>
                <w:webHidden/>
              </w:rPr>
              <w:tab/>
            </w:r>
            <w:r w:rsidR="00761315">
              <w:rPr>
                <w:noProof/>
                <w:webHidden/>
              </w:rPr>
              <w:fldChar w:fldCharType="begin"/>
            </w:r>
            <w:r w:rsidR="00761315">
              <w:rPr>
                <w:noProof/>
                <w:webHidden/>
              </w:rPr>
              <w:instrText xml:space="preserve"> PAGEREF _Toc144717598 \h </w:instrText>
            </w:r>
            <w:r w:rsidR="00761315">
              <w:rPr>
                <w:noProof/>
                <w:webHidden/>
              </w:rPr>
            </w:r>
            <w:r w:rsidR="00761315">
              <w:rPr>
                <w:noProof/>
                <w:webHidden/>
              </w:rPr>
              <w:fldChar w:fldCharType="separate"/>
            </w:r>
            <w:r w:rsidR="00761315">
              <w:rPr>
                <w:noProof/>
                <w:webHidden/>
              </w:rPr>
              <w:t>6</w:t>
            </w:r>
            <w:r w:rsidR="00761315">
              <w:rPr>
                <w:noProof/>
                <w:webHidden/>
              </w:rPr>
              <w:fldChar w:fldCharType="end"/>
            </w:r>
          </w:hyperlink>
        </w:p>
        <w:p w14:paraId="76CDAA03" w14:textId="77777777" w:rsidR="00761315" w:rsidRDefault="008D67F9">
          <w:pPr>
            <w:pStyle w:val="TOC2"/>
            <w:tabs>
              <w:tab w:val="right" w:leader="dot" w:pos="9016"/>
            </w:tabs>
            <w:rPr>
              <w:rFonts w:eastAsiaTheme="minorEastAsia"/>
              <w:noProof/>
              <w:lang w:eastAsia="en-GB"/>
            </w:rPr>
          </w:pPr>
          <w:hyperlink w:anchor="_Toc144717599" w:history="1">
            <w:r w:rsidR="00761315" w:rsidRPr="00FC3EC3">
              <w:rPr>
                <w:rStyle w:val="Hyperlink"/>
                <w:noProof/>
              </w:rPr>
              <w:t>Principle 2 - Purpose limitation</w:t>
            </w:r>
            <w:r w:rsidR="00761315">
              <w:rPr>
                <w:noProof/>
                <w:webHidden/>
              </w:rPr>
              <w:tab/>
            </w:r>
            <w:r w:rsidR="00761315">
              <w:rPr>
                <w:noProof/>
                <w:webHidden/>
              </w:rPr>
              <w:fldChar w:fldCharType="begin"/>
            </w:r>
            <w:r w:rsidR="00761315">
              <w:rPr>
                <w:noProof/>
                <w:webHidden/>
              </w:rPr>
              <w:instrText xml:space="preserve"> PAGEREF _Toc144717599 \h </w:instrText>
            </w:r>
            <w:r w:rsidR="00761315">
              <w:rPr>
                <w:noProof/>
                <w:webHidden/>
              </w:rPr>
            </w:r>
            <w:r w:rsidR="00761315">
              <w:rPr>
                <w:noProof/>
                <w:webHidden/>
              </w:rPr>
              <w:fldChar w:fldCharType="separate"/>
            </w:r>
            <w:r w:rsidR="00761315">
              <w:rPr>
                <w:noProof/>
                <w:webHidden/>
              </w:rPr>
              <w:t>8</w:t>
            </w:r>
            <w:r w:rsidR="00761315">
              <w:rPr>
                <w:noProof/>
                <w:webHidden/>
              </w:rPr>
              <w:fldChar w:fldCharType="end"/>
            </w:r>
          </w:hyperlink>
        </w:p>
        <w:p w14:paraId="4B002302" w14:textId="77777777" w:rsidR="00761315" w:rsidRDefault="008D67F9">
          <w:pPr>
            <w:pStyle w:val="TOC2"/>
            <w:tabs>
              <w:tab w:val="right" w:leader="dot" w:pos="9016"/>
            </w:tabs>
            <w:rPr>
              <w:rFonts w:eastAsiaTheme="minorEastAsia"/>
              <w:noProof/>
              <w:lang w:eastAsia="en-GB"/>
            </w:rPr>
          </w:pPr>
          <w:hyperlink w:anchor="_Toc144717600" w:history="1">
            <w:r w:rsidR="00761315" w:rsidRPr="00FC3EC3">
              <w:rPr>
                <w:rStyle w:val="Hyperlink"/>
                <w:noProof/>
              </w:rPr>
              <w:t>Principle 3 – Data minimisation</w:t>
            </w:r>
            <w:r w:rsidR="00761315">
              <w:rPr>
                <w:noProof/>
                <w:webHidden/>
              </w:rPr>
              <w:tab/>
            </w:r>
            <w:r w:rsidR="00761315">
              <w:rPr>
                <w:noProof/>
                <w:webHidden/>
              </w:rPr>
              <w:fldChar w:fldCharType="begin"/>
            </w:r>
            <w:r w:rsidR="00761315">
              <w:rPr>
                <w:noProof/>
                <w:webHidden/>
              </w:rPr>
              <w:instrText xml:space="preserve"> PAGEREF _Toc144717600 \h </w:instrText>
            </w:r>
            <w:r w:rsidR="00761315">
              <w:rPr>
                <w:noProof/>
                <w:webHidden/>
              </w:rPr>
            </w:r>
            <w:r w:rsidR="00761315">
              <w:rPr>
                <w:noProof/>
                <w:webHidden/>
              </w:rPr>
              <w:fldChar w:fldCharType="separate"/>
            </w:r>
            <w:r w:rsidR="00761315">
              <w:rPr>
                <w:noProof/>
                <w:webHidden/>
              </w:rPr>
              <w:t>8</w:t>
            </w:r>
            <w:r w:rsidR="00761315">
              <w:rPr>
                <w:noProof/>
                <w:webHidden/>
              </w:rPr>
              <w:fldChar w:fldCharType="end"/>
            </w:r>
          </w:hyperlink>
        </w:p>
        <w:p w14:paraId="5F4BEF8C" w14:textId="77777777" w:rsidR="00761315" w:rsidRDefault="008D67F9">
          <w:pPr>
            <w:pStyle w:val="TOC2"/>
            <w:tabs>
              <w:tab w:val="right" w:leader="dot" w:pos="9016"/>
            </w:tabs>
            <w:rPr>
              <w:rFonts w:eastAsiaTheme="minorEastAsia"/>
              <w:noProof/>
              <w:lang w:eastAsia="en-GB"/>
            </w:rPr>
          </w:pPr>
          <w:hyperlink w:anchor="_Toc144717601" w:history="1">
            <w:r w:rsidR="00761315" w:rsidRPr="00FC3EC3">
              <w:rPr>
                <w:rStyle w:val="Hyperlink"/>
                <w:noProof/>
              </w:rPr>
              <w:t>Principle 4 – Accuracy</w:t>
            </w:r>
            <w:r w:rsidR="00761315">
              <w:rPr>
                <w:noProof/>
                <w:webHidden/>
              </w:rPr>
              <w:tab/>
            </w:r>
            <w:r w:rsidR="00761315">
              <w:rPr>
                <w:noProof/>
                <w:webHidden/>
              </w:rPr>
              <w:fldChar w:fldCharType="begin"/>
            </w:r>
            <w:r w:rsidR="00761315">
              <w:rPr>
                <w:noProof/>
                <w:webHidden/>
              </w:rPr>
              <w:instrText xml:space="preserve"> PAGEREF _Toc144717601 \h </w:instrText>
            </w:r>
            <w:r w:rsidR="00761315">
              <w:rPr>
                <w:noProof/>
                <w:webHidden/>
              </w:rPr>
            </w:r>
            <w:r w:rsidR="00761315">
              <w:rPr>
                <w:noProof/>
                <w:webHidden/>
              </w:rPr>
              <w:fldChar w:fldCharType="separate"/>
            </w:r>
            <w:r w:rsidR="00761315">
              <w:rPr>
                <w:noProof/>
                <w:webHidden/>
              </w:rPr>
              <w:t>9</w:t>
            </w:r>
            <w:r w:rsidR="00761315">
              <w:rPr>
                <w:noProof/>
                <w:webHidden/>
              </w:rPr>
              <w:fldChar w:fldCharType="end"/>
            </w:r>
          </w:hyperlink>
        </w:p>
        <w:p w14:paraId="7F31B64E" w14:textId="77777777" w:rsidR="00761315" w:rsidRDefault="008D67F9">
          <w:pPr>
            <w:pStyle w:val="TOC2"/>
            <w:tabs>
              <w:tab w:val="right" w:leader="dot" w:pos="9016"/>
            </w:tabs>
            <w:rPr>
              <w:rFonts w:eastAsiaTheme="minorEastAsia"/>
              <w:noProof/>
              <w:lang w:eastAsia="en-GB"/>
            </w:rPr>
          </w:pPr>
          <w:hyperlink w:anchor="_Toc144717602" w:history="1">
            <w:r w:rsidR="00761315" w:rsidRPr="00FC3EC3">
              <w:rPr>
                <w:rStyle w:val="Hyperlink"/>
                <w:noProof/>
              </w:rPr>
              <w:t>Principle 5 – Storage limitation</w:t>
            </w:r>
            <w:r w:rsidR="00761315">
              <w:rPr>
                <w:noProof/>
                <w:webHidden/>
              </w:rPr>
              <w:tab/>
            </w:r>
            <w:r w:rsidR="00761315">
              <w:rPr>
                <w:noProof/>
                <w:webHidden/>
              </w:rPr>
              <w:fldChar w:fldCharType="begin"/>
            </w:r>
            <w:r w:rsidR="00761315">
              <w:rPr>
                <w:noProof/>
                <w:webHidden/>
              </w:rPr>
              <w:instrText xml:space="preserve"> PAGEREF _Toc144717602 \h </w:instrText>
            </w:r>
            <w:r w:rsidR="00761315">
              <w:rPr>
                <w:noProof/>
                <w:webHidden/>
              </w:rPr>
            </w:r>
            <w:r w:rsidR="00761315">
              <w:rPr>
                <w:noProof/>
                <w:webHidden/>
              </w:rPr>
              <w:fldChar w:fldCharType="separate"/>
            </w:r>
            <w:r w:rsidR="00761315">
              <w:rPr>
                <w:noProof/>
                <w:webHidden/>
              </w:rPr>
              <w:t>9</w:t>
            </w:r>
            <w:r w:rsidR="00761315">
              <w:rPr>
                <w:noProof/>
                <w:webHidden/>
              </w:rPr>
              <w:fldChar w:fldCharType="end"/>
            </w:r>
          </w:hyperlink>
        </w:p>
        <w:p w14:paraId="312BD67B" w14:textId="77777777" w:rsidR="00761315" w:rsidRDefault="008D67F9">
          <w:pPr>
            <w:pStyle w:val="TOC2"/>
            <w:tabs>
              <w:tab w:val="right" w:leader="dot" w:pos="9016"/>
            </w:tabs>
            <w:rPr>
              <w:rFonts w:eastAsiaTheme="minorEastAsia"/>
              <w:noProof/>
              <w:lang w:eastAsia="en-GB"/>
            </w:rPr>
          </w:pPr>
          <w:hyperlink w:anchor="_Toc144717603" w:history="1">
            <w:r w:rsidR="00761315" w:rsidRPr="00FC3EC3">
              <w:rPr>
                <w:rStyle w:val="Hyperlink"/>
                <w:noProof/>
              </w:rPr>
              <w:t>Principle 6 – Integrity and confidentiality</w:t>
            </w:r>
            <w:r w:rsidR="00761315">
              <w:rPr>
                <w:noProof/>
                <w:webHidden/>
              </w:rPr>
              <w:tab/>
            </w:r>
            <w:r w:rsidR="00761315">
              <w:rPr>
                <w:noProof/>
                <w:webHidden/>
              </w:rPr>
              <w:fldChar w:fldCharType="begin"/>
            </w:r>
            <w:r w:rsidR="00761315">
              <w:rPr>
                <w:noProof/>
                <w:webHidden/>
              </w:rPr>
              <w:instrText xml:space="preserve"> PAGEREF _Toc144717603 \h </w:instrText>
            </w:r>
            <w:r w:rsidR="00761315">
              <w:rPr>
                <w:noProof/>
                <w:webHidden/>
              </w:rPr>
            </w:r>
            <w:r w:rsidR="00761315">
              <w:rPr>
                <w:noProof/>
                <w:webHidden/>
              </w:rPr>
              <w:fldChar w:fldCharType="separate"/>
            </w:r>
            <w:r w:rsidR="00761315">
              <w:rPr>
                <w:noProof/>
                <w:webHidden/>
              </w:rPr>
              <w:t>10</w:t>
            </w:r>
            <w:r w:rsidR="00761315">
              <w:rPr>
                <w:noProof/>
                <w:webHidden/>
              </w:rPr>
              <w:fldChar w:fldCharType="end"/>
            </w:r>
          </w:hyperlink>
        </w:p>
        <w:p w14:paraId="79D0082B" w14:textId="77777777" w:rsidR="00761315" w:rsidRDefault="008D67F9">
          <w:pPr>
            <w:pStyle w:val="TOC2"/>
            <w:tabs>
              <w:tab w:val="right" w:leader="dot" w:pos="9016"/>
            </w:tabs>
            <w:rPr>
              <w:rFonts w:eastAsiaTheme="minorEastAsia"/>
              <w:noProof/>
              <w:lang w:eastAsia="en-GB"/>
            </w:rPr>
          </w:pPr>
          <w:hyperlink w:anchor="_Toc144717604" w:history="1">
            <w:r w:rsidR="00761315" w:rsidRPr="00FC3EC3">
              <w:rPr>
                <w:rStyle w:val="Hyperlink"/>
                <w:noProof/>
              </w:rPr>
              <w:t>Principle 7 – Accountability</w:t>
            </w:r>
            <w:r w:rsidR="00761315">
              <w:rPr>
                <w:noProof/>
                <w:webHidden/>
              </w:rPr>
              <w:tab/>
            </w:r>
            <w:r w:rsidR="00761315">
              <w:rPr>
                <w:noProof/>
                <w:webHidden/>
              </w:rPr>
              <w:fldChar w:fldCharType="begin"/>
            </w:r>
            <w:r w:rsidR="00761315">
              <w:rPr>
                <w:noProof/>
                <w:webHidden/>
              </w:rPr>
              <w:instrText xml:space="preserve"> PAGEREF _Toc144717604 \h </w:instrText>
            </w:r>
            <w:r w:rsidR="00761315">
              <w:rPr>
                <w:noProof/>
                <w:webHidden/>
              </w:rPr>
            </w:r>
            <w:r w:rsidR="00761315">
              <w:rPr>
                <w:noProof/>
                <w:webHidden/>
              </w:rPr>
              <w:fldChar w:fldCharType="separate"/>
            </w:r>
            <w:r w:rsidR="00761315">
              <w:rPr>
                <w:noProof/>
                <w:webHidden/>
              </w:rPr>
              <w:t>11</w:t>
            </w:r>
            <w:r w:rsidR="00761315">
              <w:rPr>
                <w:noProof/>
                <w:webHidden/>
              </w:rPr>
              <w:fldChar w:fldCharType="end"/>
            </w:r>
          </w:hyperlink>
        </w:p>
        <w:p w14:paraId="3CD65182" w14:textId="77777777" w:rsidR="00761315" w:rsidRDefault="008D67F9">
          <w:pPr>
            <w:pStyle w:val="TOC1"/>
            <w:tabs>
              <w:tab w:val="left" w:pos="440"/>
              <w:tab w:val="right" w:leader="dot" w:pos="9016"/>
            </w:tabs>
            <w:rPr>
              <w:rFonts w:eastAsiaTheme="minorEastAsia"/>
              <w:noProof/>
              <w:lang w:eastAsia="en-GB"/>
            </w:rPr>
          </w:pPr>
          <w:hyperlink w:anchor="_Toc144717605" w:history="1">
            <w:r w:rsidR="00761315" w:rsidRPr="00FC3EC3">
              <w:rPr>
                <w:rStyle w:val="Hyperlink"/>
                <w:b/>
                <w:noProof/>
              </w:rPr>
              <w:t>5.</w:t>
            </w:r>
            <w:r w:rsidR="00761315">
              <w:rPr>
                <w:rFonts w:eastAsiaTheme="minorEastAsia"/>
                <w:noProof/>
                <w:lang w:eastAsia="en-GB"/>
              </w:rPr>
              <w:tab/>
            </w:r>
            <w:r w:rsidR="00761315" w:rsidRPr="00FC3EC3">
              <w:rPr>
                <w:rStyle w:val="Hyperlink"/>
                <w:b/>
                <w:noProof/>
              </w:rPr>
              <w:t>Data Subjects Rights Under Data Protection</w:t>
            </w:r>
            <w:r w:rsidR="00761315">
              <w:rPr>
                <w:noProof/>
                <w:webHidden/>
              </w:rPr>
              <w:tab/>
            </w:r>
            <w:r w:rsidR="00761315">
              <w:rPr>
                <w:noProof/>
                <w:webHidden/>
              </w:rPr>
              <w:fldChar w:fldCharType="begin"/>
            </w:r>
            <w:r w:rsidR="00761315">
              <w:rPr>
                <w:noProof/>
                <w:webHidden/>
              </w:rPr>
              <w:instrText xml:space="preserve"> PAGEREF _Toc144717605 \h </w:instrText>
            </w:r>
            <w:r w:rsidR="00761315">
              <w:rPr>
                <w:noProof/>
                <w:webHidden/>
              </w:rPr>
            </w:r>
            <w:r w:rsidR="00761315">
              <w:rPr>
                <w:noProof/>
                <w:webHidden/>
              </w:rPr>
              <w:fldChar w:fldCharType="separate"/>
            </w:r>
            <w:r w:rsidR="00761315">
              <w:rPr>
                <w:noProof/>
                <w:webHidden/>
              </w:rPr>
              <w:t>12</w:t>
            </w:r>
            <w:r w:rsidR="00761315">
              <w:rPr>
                <w:noProof/>
                <w:webHidden/>
              </w:rPr>
              <w:fldChar w:fldCharType="end"/>
            </w:r>
          </w:hyperlink>
        </w:p>
        <w:p w14:paraId="0501B3AF" w14:textId="77777777" w:rsidR="00761315" w:rsidRDefault="008D67F9">
          <w:pPr>
            <w:pStyle w:val="TOC2"/>
            <w:tabs>
              <w:tab w:val="left" w:pos="880"/>
              <w:tab w:val="right" w:leader="dot" w:pos="9016"/>
            </w:tabs>
            <w:rPr>
              <w:rFonts w:eastAsiaTheme="minorEastAsia"/>
              <w:noProof/>
              <w:lang w:eastAsia="en-GB"/>
            </w:rPr>
          </w:pPr>
          <w:hyperlink w:anchor="_Toc144717611" w:history="1">
            <w:r w:rsidR="00761315" w:rsidRPr="00FC3EC3">
              <w:rPr>
                <w:rStyle w:val="Hyperlink"/>
                <w:noProof/>
              </w:rPr>
              <w:t>5.1.</w:t>
            </w:r>
            <w:r w:rsidR="00761315">
              <w:rPr>
                <w:rFonts w:eastAsiaTheme="minorEastAsia"/>
                <w:noProof/>
                <w:lang w:eastAsia="en-GB"/>
              </w:rPr>
              <w:tab/>
            </w:r>
            <w:r w:rsidR="00761315" w:rsidRPr="00FC3EC3">
              <w:rPr>
                <w:rStyle w:val="Hyperlink"/>
                <w:noProof/>
              </w:rPr>
              <w:t>The right to be informed</w:t>
            </w:r>
            <w:r w:rsidR="00761315">
              <w:rPr>
                <w:noProof/>
                <w:webHidden/>
              </w:rPr>
              <w:tab/>
            </w:r>
            <w:r w:rsidR="00761315">
              <w:rPr>
                <w:noProof/>
                <w:webHidden/>
              </w:rPr>
              <w:fldChar w:fldCharType="begin"/>
            </w:r>
            <w:r w:rsidR="00761315">
              <w:rPr>
                <w:noProof/>
                <w:webHidden/>
              </w:rPr>
              <w:instrText xml:space="preserve"> PAGEREF _Toc144717611 \h </w:instrText>
            </w:r>
            <w:r w:rsidR="00761315">
              <w:rPr>
                <w:noProof/>
                <w:webHidden/>
              </w:rPr>
            </w:r>
            <w:r w:rsidR="00761315">
              <w:rPr>
                <w:noProof/>
                <w:webHidden/>
              </w:rPr>
              <w:fldChar w:fldCharType="separate"/>
            </w:r>
            <w:r w:rsidR="00761315">
              <w:rPr>
                <w:noProof/>
                <w:webHidden/>
              </w:rPr>
              <w:t>12</w:t>
            </w:r>
            <w:r w:rsidR="00761315">
              <w:rPr>
                <w:noProof/>
                <w:webHidden/>
              </w:rPr>
              <w:fldChar w:fldCharType="end"/>
            </w:r>
          </w:hyperlink>
        </w:p>
        <w:p w14:paraId="2D56F0AE" w14:textId="77777777" w:rsidR="00761315" w:rsidRDefault="008D67F9">
          <w:pPr>
            <w:pStyle w:val="TOC2"/>
            <w:tabs>
              <w:tab w:val="left" w:pos="880"/>
              <w:tab w:val="right" w:leader="dot" w:pos="9016"/>
            </w:tabs>
            <w:rPr>
              <w:rFonts w:eastAsiaTheme="minorEastAsia"/>
              <w:noProof/>
              <w:lang w:eastAsia="en-GB"/>
            </w:rPr>
          </w:pPr>
          <w:hyperlink w:anchor="_Toc144717612" w:history="1">
            <w:r w:rsidR="00761315" w:rsidRPr="00FC3EC3">
              <w:rPr>
                <w:rStyle w:val="Hyperlink"/>
                <w:noProof/>
              </w:rPr>
              <w:t>5.1.</w:t>
            </w:r>
            <w:r w:rsidR="00761315">
              <w:rPr>
                <w:rFonts w:eastAsiaTheme="minorEastAsia"/>
                <w:noProof/>
                <w:lang w:eastAsia="en-GB"/>
              </w:rPr>
              <w:tab/>
            </w:r>
            <w:r w:rsidR="00761315" w:rsidRPr="00FC3EC3">
              <w:rPr>
                <w:rStyle w:val="Hyperlink"/>
                <w:noProof/>
              </w:rPr>
              <w:t>The right of access</w:t>
            </w:r>
            <w:r w:rsidR="00761315">
              <w:rPr>
                <w:noProof/>
                <w:webHidden/>
              </w:rPr>
              <w:tab/>
            </w:r>
            <w:r w:rsidR="00761315">
              <w:rPr>
                <w:noProof/>
                <w:webHidden/>
              </w:rPr>
              <w:fldChar w:fldCharType="begin"/>
            </w:r>
            <w:r w:rsidR="00761315">
              <w:rPr>
                <w:noProof/>
                <w:webHidden/>
              </w:rPr>
              <w:instrText xml:space="preserve"> PAGEREF _Toc144717612 \h </w:instrText>
            </w:r>
            <w:r w:rsidR="00761315">
              <w:rPr>
                <w:noProof/>
                <w:webHidden/>
              </w:rPr>
            </w:r>
            <w:r w:rsidR="00761315">
              <w:rPr>
                <w:noProof/>
                <w:webHidden/>
              </w:rPr>
              <w:fldChar w:fldCharType="separate"/>
            </w:r>
            <w:r w:rsidR="00761315">
              <w:rPr>
                <w:noProof/>
                <w:webHidden/>
              </w:rPr>
              <w:t>14</w:t>
            </w:r>
            <w:r w:rsidR="00761315">
              <w:rPr>
                <w:noProof/>
                <w:webHidden/>
              </w:rPr>
              <w:fldChar w:fldCharType="end"/>
            </w:r>
          </w:hyperlink>
        </w:p>
        <w:p w14:paraId="7B5C0E36" w14:textId="77777777" w:rsidR="00761315" w:rsidRDefault="008D67F9">
          <w:pPr>
            <w:pStyle w:val="TOC2"/>
            <w:tabs>
              <w:tab w:val="left" w:pos="880"/>
              <w:tab w:val="right" w:leader="dot" w:pos="9016"/>
            </w:tabs>
            <w:rPr>
              <w:rFonts w:eastAsiaTheme="minorEastAsia"/>
              <w:noProof/>
              <w:lang w:eastAsia="en-GB"/>
            </w:rPr>
          </w:pPr>
          <w:hyperlink w:anchor="_Toc144717613" w:history="1">
            <w:r w:rsidR="00761315" w:rsidRPr="00FC3EC3">
              <w:rPr>
                <w:rStyle w:val="Hyperlink"/>
                <w:noProof/>
              </w:rPr>
              <w:t>5.2.</w:t>
            </w:r>
            <w:r w:rsidR="00761315">
              <w:rPr>
                <w:rFonts w:eastAsiaTheme="minorEastAsia"/>
                <w:noProof/>
                <w:lang w:eastAsia="en-GB"/>
              </w:rPr>
              <w:tab/>
            </w:r>
            <w:r w:rsidR="00761315" w:rsidRPr="00FC3EC3">
              <w:rPr>
                <w:rStyle w:val="Hyperlink"/>
                <w:noProof/>
              </w:rPr>
              <w:t>The right to rectification</w:t>
            </w:r>
            <w:r w:rsidR="00761315">
              <w:rPr>
                <w:noProof/>
                <w:webHidden/>
              </w:rPr>
              <w:tab/>
            </w:r>
            <w:r w:rsidR="00761315">
              <w:rPr>
                <w:noProof/>
                <w:webHidden/>
              </w:rPr>
              <w:fldChar w:fldCharType="begin"/>
            </w:r>
            <w:r w:rsidR="00761315">
              <w:rPr>
                <w:noProof/>
                <w:webHidden/>
              </w:rPr>
              <w:instrText xml:space="preserve"> PAGEREF _Toc144717613 \h </w:instrText>
            </w:r>
            <w:r w:rsidR="00761315">
              <w:rPr>
                <w:noProof/>
                <w:webHidden/>
              </w:rPr>
            </w:r>
            <w:r w:rsidR="00761315">
              <w:rPr>
                <w:noProof/>
                <w:webHidden/>
              </w:rPr>
              <w:fldChar w:fldCharType="separate"/>
            </w:r>
            <w:r w:rsidR="00761315">
              <w:rPr>
                <w:noProof/>
                <w:webHidden/>
              </w:rPr>
              <w:t>14</w:t>
            </w:r>
            <w:r w:rsidR="00761315">
              <w:rPr>
                <w:noProof/>
                <w:webHidden/>
              </w:rPr>
              <w:fldChar w:fldCharType="end"/>
            </w:r>
          </w:hyperlink>
        </w:p>
        <w:p w14:paraId="159A2701" w14:textId="77777777" w:rsidR="00761315" w:rsidRDefault="008D67F9">
          <w:pPr>
            <w:pStyle w:val="TOC2"/>
            <w:tabs>
              <w:tab w:val="left" w:pos="880"/>
              <w:tab w:val="right" w:leader="dot" w:pos="9016"/>
            </w:tabs>
            <w:rPr>
              <w:rFonts w:eastAsiaTheme="minorEastAsia"/>
              <w:noProof/>
              <w:lang w:eastAsia="en-GB"/>
            </w:rPr>
          </w:pPr>
          <w:hyperlink w:anchor="_Toc144717615" w:history="1">
            <w:r w:rsidR="00761315" w:rsidRPr="00FC3EC3">
              <w:rPr>
                <w:rStyle w:val="Hyperlink"/>
                <w:noProof/>
              </w:rPr>
              <w:t>5.3.</w:t>
            </w:r>
            <w:r w:rsidR="00761315">
              <w:rPr>
                <w:rFonts w:eastAsiaTheme="minorEastAsia"/>
                <w:noProof/>
                <w:lang w:eastAsia="en-GB"/>
              </w:rPr>
              <w:tab/>
            </w:r>
            <w:r w:rsidR="00761315" w:rsidRPr="00FC3EC3">
              <w:rPr>
                <w:rStyle w:val="Hyperlink"/>
                <w:noProof/>
              </w:rPr>
              <w:t>The right to erasure - “right to be forgotten”</w:t>
            </w:r>
            <w:r w:rsidR="00761315">
              <w:rPr>
                <w:noProof/>
                <w:webHidden/>
              </w:rPr>
              <w:tab/>
            </w:r>
            <w:r w:rsidR="00761315">
              <w:rPr>
                <w:noProof/>
                <w:webHidden/>
              </w:rPr>
              <w:fldChar w:fldCharType="begin"/>
            </w:r>
            <w:r w:rsidR="00761315">
              <w:rPr>
                <w:noProof/>
                <w:webHidden/>
              </w:rPr>
              <w:instrText xml:space="preserve"> PAGEREF _Toc144717615 \h </w:instrText>
            </w:r>
            <w:r w:rsidR="00761315">
              <w:rPr>
                <w:noProof/>
                <w:webHidden/>
              </w:rPr>
            </w:r>
            <w:r w:rsidR="00761315">
              <w:rPr>
                <w:noProof/>
                <w:webHidden/>
              </w:rPr>
              <w:fldChar w:fldCharType="separate"/>
            </w:r>
            <w:r w:rsidR="00761315">
              <w:rPr>
                <w:noProof/>
                <w:webHidden/>
              </w:rPr>
              <w:t>14</w:t>
            </w:r>
            <w:r w:rsidR="00761315">
              <w:rPr>
                <w:noProof/>
                <w:webHidden/>
              </w:rPr>
              <w:fldChar w:fldCharType="end"/>
            </w:r>
          </w:hyperlink>
        </w:p>
        <w:p w14:paraId="55D70EBB" w14:textId="77777777" w:rsidR="00761315" w:rsidRDefault="008D67F9">
          <w:pPr>
            <w:pStyle w:val="TOC2"/>
            <w:tabs>
              <w:tab w:val="left" w:pos="880"/>
              <w:tab w:val="right" w:leader="dot" w:pos="9016"/>
            </w:tabs>
            <w:rPr>
              <w:rFonts w:eastAsiaTheme="minorEastAsia"/>
              <w:noProof/>
              <w:lang w:eastAsia="en-GB"/>
            </w:rPr>
          </w:pPr>
          <w:hyperlink w:anchor="_Toc144717616" w:history="1">
            <w:r w:rsidR="00761315" w:rsidRPr="00FC3EC3">
              <w:rPr>
                <w:rStyle w:val="Hyperlink"/>
                <w:noProof/>
              </w:rPr>
              <w:t>5.4.</w:t>
            </w:r>
            <w:r w:rsidR="00761315">
              <w:rPr>
                <w:rFonts w:eastAsiaTheme="minorEastAsia"/>
                <w:noProof/>
                <w:lang w:eastAsia="en-GB"/>
              </w:rPr>
              <w:tab/>
            </w:r>
            <w:r w:rsidR="00761315" w:rsidRPr="00FC3EC3">
              <w:rPr>
                <w:rStyle w:val="Hyperlink"/>
                <w:noProof/>
              </w:rPr>
              <w:t>The right of restriction</w:t>
            </w:r>
            <w:r w:rsidR="00761315">
              <w:rPr>
                <w:noProof/>
                <w:webHidden/>
              </w:rPr>
              <w:tab/>
            </w:r>
            <w:r w:rsidR="00761315">
              <w:rPr>
                <w:noProof/>
                <w:webHidden/>
              </w:rPr>
              <w:fldChar w:fldCharType="begin"/>
            </w:r>
            <w:r w:rsidR="00761315">
              <w:rPr>
                <w:noProof/>
                <w:webHidden/>
              </w:rPr>
              <w:instrText xml:space="preserve"> PAGEREF _Toc144717616 \h </w:instrText>
            </w:r>
            <w:r w:rsidR="00761315">
              <w:rPr>
                <w:noProof/>
                <w:webHidden/>
              </w:rPr>
            </w:r>
            <w:r w:rsidR="00761315">
              <w:rPr>
                <w:noProof/>
                <w:webHidden/>
              </w:rPr>
              <w:fldChar w:fldCharType="separate"/>
            </w:r>
            <w:r w:rsidR="00761315">
              <w:rPr>
                <w:noProof/>
                <w:webHidden/>
              </w:rPr>
              <w:t>15</w:t>
            </w:r>
            <w:r w:rsidR="00761315">
              <w:rPr>
                <w:noProof/>
                <w:webHidden/>
              </w:rPr>
              <w:fldChar w:fldCharType="end"/>
            </w:r>
          </w:hyperlink>
        </w:p>
        <w:p w14:paraId="365CECB5" w14:textId="77777777" w:rsidR="00761315" w:rsidRDefault="008D67F9">
          <w:pPr>
            <w:pStyle w:val="TOC2"/>
            <w:tabs>
              <w:tab w:val="left" w:pos="880"/>
              <w:tab w:val="right" w:leader="dot" w:pos="9016"/>
            </w:tabs>
            <w:rPr>
              <w:rFonts w:eastAsiaTheme="minorEastAsia"/>
              <w:noProof/>
              <w:lang w:eastAsia="en-GB"/>
            </w:rPr>
          </w:pPr>
          <w:hyperlink w:anchor="_Toc144717617" w:history="1">
            <w:r w:rsidR="00761315" w:rsidRPr="00FC3EC3">
              <w:rPr>
                <w:rStyle w:val="Hyperlink"/>
                <w:noProof/>
              </w:rPr>
              <w:t>5.5.</w:t>
            </w:r>
            <w:r w:rsidR="00761315">
              <w:rPr>
                <w:rFonts w:eastAsiaTheme="minorEastAsia"/>
                <w:noProof/>
                <w:lang w:eastAsia="en-GB"/>
              </w:rPr>
              <w:tab/>
            </w:r>
            <w:r w:rsidR="00761315" w:rsidRPr="00FC3EC3">
              <w:rPr>
                <w:rStyle w:val="Hyperlink"/>
                <w:noProof/>
              </w:rPr>
              <w:t>Right to data portability</w:t>
            </w:r>
            <w:r w:rsidR="00761315">
              <w:rPr>
                <w:noProof/>
                <w:webHidden/>
              </w:rPr>
              <w:tab/>
            </w:r>
            <w:r w:rsidR="00761315">
              <w:rPr>
                <w:noProof/>
                <w:webHidden/>
              </w:rPr>
              <w:fldChar w:fldCharType="begin"/>
            </w:r>
            <w:r w:rsidR="00761315">
              <w:rPr>
                <w:noProof/>
                <w:webHidden/>
              </w:rPr>
              <w:instrText xml:space="preserve"> PAGEREF _Toc144717617 \h </w:instrText>
            </w:r>
            <w:r w:rsidR="00761315">
              <w:rPr>
                <w:noProof/>
                <w:webHidden/>
              </w:rPr>
            </w:r>
            <w:r w:rsidR="00761315">
              <w:rPr>
                <w:noProof/>
                <w:webHidden/>
              </w:rPr>
              <w:fldChar w:fldCharType="separate"/>
            </w:r>
            <w:r w:rsidR="00761315">
              <w:rPr>
                <w:noProof/>
                <w:webHidden/>
              </w:rPr>
              <w:t>15</w:t>
            </w:r>
            <w:r w:rsidR="00761315">
              <w:rPr>
                <w:noProof/>
                <w:webHidden/>
              </w:rPr>
              <w:fldChar w:fldCharType="end"/>
            </w:r>
          </w:hyperlink>
        </w:p>
        <w:p w14:paraId="25F1AE40" w14:textId="77777777" w:rsidR="00761315" w:rsidRDefault="008D67F9">
          <w:pPr>
            <w:pStyle w:val="TOC2"/>
            <w:tabs>
              <w:tab w:val="left" w:pos="880"/>
              <w:tab w:val="right" w:leader="dot" w:pos="9016"/>
            </w:tabs>
            <w:rPr>
              <w:rFonts w:eastAsiaTheme="minorEastAsia"/>
              <w:noProof/>
              <w:lang w:eastAsia="en-GB"/>
            </w:rPr>
          </w:pPr>
          <w:hyperlink w:anchor="_Toc144717618" w:history="1">
            <w:r w:rsidR="00761315" w:rsidRPr="00FC3EC3">
              <w:rPr>
                <w:rStyle w:val="Hyperlink"/>
                <w:noProof/>
              </w:rPr>
              <w:t>5.6.</w:t>
            </w:r>
            <w:r w:rsidR="00761315">
              <w:rPr>
                <w:rFonts w:eastAsiaTheme="minorEastAsia"/>
                <w:noProof/>
                <w:lang w:eastAsia="en-GB"/>
              </w:rPr>
              <w:tab/>
            </w:r>
            <w:r w:rsidR="00761315" w:rsidRPr="00FC3EC3">
              <w:rPr>
                <w:rStyle w:val="Hyperlink"/>
                <w:noProof/>
              </w:rPr>
              <w:t>The right to object</w:t>
            </w:r>
            <w:r w:rsidR="00761315">
              <w:rPr>
                <w:noProof/>
                <w:webHidden/>
              </w:rPr>
              <w:tab/>
            </w:r>
            <w:r w:rsidR="00761315">
              <w:rPr>
                <w:noProof/>
                <w:webHidden/>
              </w:rPr>
              <w:fldChar w:fldCharType="begin"/>
            </w:r>
            <w:r w:rsidR="00761315">
              <w:rPr>
                <w:noProof/>
                <w:webHidden/>
              </w:rPr>
              <w:instrText xml:space="preserve"> PAGEREF _Toc144717618 \h </w:instrText>
            </w:r>
            <w:r w:rsidR="00761315">
              <w:rPr>
                <w:noProof/>
                <w:webHidden/>
              </w:rPr>
            </w:r>
            <w:r w:rsidR="00761315">
              <w:rPr>
                <w:noProof/>
                <w:webHidden/>
              </w:rPr>
              <w:fldChar w:fldCharType="separate"/>
            </w:r>
            <w:r w:rsidR="00761315">
              <w:rPr>
                <w:noProof/>
                <w:webHidden/>
              </w:rPr>
              <w:t>15</w:t>
            </w:r>
            <w:r w:rsidR="00761315">
              <w:rPr>
                <w:noProof/>
                <w:webHidden/>
              </w:rPr>
              <w:fldChar w:fldCharType="end"/>
            </w:r>
          </w:hyperlink>
        </w:p>
        <w:p w14:paraId="43B6A691" w14:textId="77777777" w:rsidR="00761315" w:rsidRDefault="008D67F9">
          <w:pPr>
            <w:pStyle w:val="TOC2"/>
            <w:tabs>
              <w:tab w:val="left" w:pos="880"/>
              <w:tab w:val="right" w:leader="dot" w:pos="9016"/>
            </w:tabs>
            <w:rPr>
              <w:rFonts w:eastAsiaTheme="minorEastAsia"/>
              <w:noProof/>
              <w:lang w:eastAsia="en-GB"/>
            </w:rPr>
          </w:pPr>
          <w:hyperlink w:anchor="_Toc144717630" w:history="1">
            <w:r w:rsidR="00761315" w:rsidRPr="00FC3EC3">
              <w:rPr>
                <w:rStyle w:val="Hyperlink"/>
                <w:noProof/>
              </w:rPr>
              <w:t>5.7.</w:t>
            </w:r>
            <w:r w:rsidR="00761315">
              <w:rPr>
                <w:rFonts w:eastAsiaTheme="minorEastAsia"/>
                <w:noProof/>
                <w:lang w:eastAsia="en-GB"/>
              </w:rPr>
              <w:tab/>
            </w:r>
            <w:r w:rsidR="00761315" w:rsidRPr="00FC3EC3">
              <w:rPr>
                <w:rStyle w:val="Hyperlink"/>
                <w:noProof/>
              </w:rPr>
              <w:t>Right to be informed of automated individual decision making, including profiling</w:t>
            </w:r>
            <w:r w:rsidR="00761315">
              <w:rPr>
                <w:noProof/>
                <w:webHidden/>
              </w:rPr>
              <w:tab/>
            </w:r>
            <w:r w:rsidR="00761315">
              <w:rPr>
                <w:noProof/>
                <w:webHidden/>
              </w:rPr>
              <w:fldChar w:fldCharType="begin"/>
            </w:r>
            <w:r w:rsidR="00761315">
              <w:rPr>
                <w:noProof/>
                <w:webHidden/>
              </w:rPr>
              <w:instrText xml:space="preserve"> PAGEREF _Toc144717630 \h </w:instrText>
            </w:r>
            <w:r w:rsidR="00761315">
              <w:rPr>
                <w:noProof/>
                <w:webHidden/>
              </w:rPr>
            </w:r>
            <w:r w:rsidR="00761315">
              <w:rPr>
                <w:noProof/>
                <w:webHidden/>
              </w:rPr>
              <w:fldChar w:fldCharType="separate"/>
            </w:r>
            <w:r w:rsidR="00761315">
              <w:rPr>
                <w:noProof/>
                <w:webHidden/>
              </w:rPr>
              <w:t>15</w:t>
            </w:r>
            <w:r w:rsidR="00761315">
              <w:rPr>
                <w:noProof/>
                <w:webHidden/>
              </w:rPr>
              <w:fldChar w:fldCharType="end"/>
            </w:r>
          </w:hyperlink>
        </w:p>
        <w:p w14:paraId="5120CFEF" w14:textId="77777777" w:rsidR="00761315" w:rsidRDefault="008D67F9">
          <w:pPr>
            <w:pStyle w:val="TOC1"/>
            <w:tabs>
              <w:tab w:val="left" w:pos="440"/>
              <w:tab w:val="right" w:leader="dot" w:pos="9016"/>
            </w:tabs>
            <w:rPr>
              <w:rFonts w:eastAsiaTheme="minorEastAsia"/>
              <w:noProof/>
              <w:lang w:eastAsia="en-GB"/>
            </w:rPr>
          </w:pPr>
          <w:hyperlink w:anchor="_Toc144717631" w:history="1">
            <w:r w:rsidR="00761315" w:rsidRPr="00FC3EC3">
              <w:rPr>
                <w:rStyle w:val="Hyperlink"/>
                <w:b/>
                <w:noProof/>
              </w:rPr>
              <w:t>6.</w:t>
            </w:r>
            <w:r w:rsidR="00761315">
              <w:rPr>
                <w:rFonts w:eastAsiaTheme="minorEastAsia"/>
                <w:noProof/>
                <w:lang w:eastAsia="en-GB"/>
              </w:rPr>
              <w:tab/>
            </w:r>
            <w:r w:rsidR="00761315" w:rsidRPr="00FC3EC3">
              <w:rPr>
                <w:rStyle w:val="Hyperlink"/>
                <w:b/>
                <w:noProof/>
              </w:rPr>
              <w:t>Data Security Breach Procedure</w:t>
            </w:r>
            <w:r w:rsidR="00761315">
              <w:rPr>
                <w:noProof/>
                <w:webHidden/>
              </w:rPr>
              <w:tab/>
            </w:r>
            <w:r w:rsidR="00761315">
              <w:rPr>
                <w:noProof/>
                <w:webHidden/>
              </w:rPr>
              <w:fldChar w:fldCharType="begin"/>
            </w:r>
            <w:r w:rsidR="00761315">
              <w:rPr>
                <w:noProof/>
                <w:webHidden/>
              </w:rPr>
              <w:instrText xml:space="preserve"> PAGEREF _Toc144717631 \h </w:instrText>
            </w:r>
            <w:r w:rsidR="00761315">
              <w:rPr>
                <w:noProof/>
                <w:webHidden/>
              </w:rPr>
            </w:r>
            <w:r w:rsidR="00761315">
              <w:rPr>
                <w:noProof/>
                <w:webHidden/>
              </w:rPr>
              <w:fldChar w:fldCharType="separate"/>
            </w:r>
            <w:r w:rsidR="00761315">
              <w:rPr>
                <w:noProof/>
                <w:webHidden/>
              </w:rPr>
              <w:t>16</w:t>
            </w:r>
            <w:r w:rsidR="00761315">
              <w:rPr>
                <w:noProof/>
                <w:webHidden/>
              </w:rPr>
              <w:fldChar w:fldCharType="end"/>
            </w:r>
          </w:hyperlink>
        </w:p>
        <w:p w14:paraId="72D5D3B2" w14:textId="77777777" w:rsidR="00761315" w:rsidRDefault="008D67F9">
          <w:pPr>
            <w:pStyle w:val="TOC1"/>
            <w:tabs>
              <w:tab w:val="left" w:pos="440"/>
              <w:tab w:val="right" w:leader="dot" w:pos="9016"/>
            </w:tabs>
            <w:rPr>
              <w:rFonts w:eastAsiaTheme="minorEastAsia"/>
              <w:noProof/>
              <w:lang w:eastAsia="en-GB"/>
            </w:rPr>
          </w:pPr>
          <w:hyperlink w:anchor="_Toc144717632" w:history="1">
            <w:r w:rsidR="00761315" w:rsidRPr="00FC3EC3">
              <w:rPr>
                <w:rStyle w:val="Hyperlink"/>
                <w:b/>
                <w:noProof/>
              </w:rPr>
              <w:t>7.</w:t>
            </w:r>
            <w:r w:rsidR="00761315">
              <w:rPr>
                <w:rFonts w:eastAsiaTheme="minorEastAsia"/>
                <w:noProof/>
                <w:lang w:eastAsia="en-GB"/>
              </w:rPr>
              <w:tab/>
            </w:r>
            <w:r w:rsidR="00761315" w:rsidRPr="00FC3EC3">
              <w:rPr>
                <w:rStyle w:val="Hyperlink"/>
                <w:b/>
                <w:noProof/>
              </w:rPr>
              <w:t>Data Protection Officers (DPO)</w:t>
            </w:r>
            <w:r w:rsidR="00761315">
              <w:rPr>
                <w:noProof/>
                <w:webHidden/>
              </w:rPr>
              <w:tab/>
            </w:r>
            <w:r w:rsidR="00761315">
              <w:rPr>
                <w:noProof/>
                <w:webHidden/>
              </w:rPr>
              <w:fldChar w:fldCharType="begin"/>
            </w:r>
            <w:r w:rsidR="00761315">
              <w:rPr>
                <w:noProof/>
                <w:webHidden/>
              </w:rPr>
              <w:instrText xml:space="preserve"> PAGEREF _Toc144717632 \h </w:instrText>
            </w:r>
            <w:r w:rsidR="00761315">
              <w:rPr>
                <w:noProof/>
                <w:webHidden/>
              </w:rPr>
            </w:r>
            <w:r w:rsidR="00761315">
              <w:rPr>
                <w:noProof/>
                <w:webHidden/>
              </w:rPr>
              <w:fldChar w:fldCharType="separate"/>
            </w:r>
            <w:r w:rsidR="00761315">
              <w:rPr>
                <w:noProof/>
                <w:webHidden/>
              </w:rPr>
              <w:t>18</w:t>
            </w:r>
            <w:r w:rsidR="00761315">
              <w:rPr>
                <w:noProof/>
                <w:webHidden/>
              </w:rPr>
              <w:fldChar w:fldCharType="end"/>
            </w:r>
          </w:hyperlink>
        </w:p>
        <w:p w14:paraId="102745A2" w14:textId="77777777" w:rsidR="00761315" w:rsidRDefault="008D67F9">
          <w:pPr>
            <w:pStyle w:val="TOC1"/>
            <w:tabs>
              <w:tab w:val="left" w:pos="440"/>
              <w:tab w:val="right" w:leader="dot" w:pos="9016"/>
            </w:tabs>
            <w:rPr>
              <w:rFonts w:eastAsiaTheme="minorEastAsia"/>
              <w:noProof/>
              <w:lang w:eastAsia="en-GB"/>
            </w:rPr>
          </w:pPr>
          <w:hyperlink w:anchor="_Toc144717633" w:history="1">
            <w:r w:rsidR="00761315" w:rsidRPr="00FC3EC3">
              <w:rPr>
                <w:rStyle w:val="Hyperlink"/>
                <w:b/>
                <w:noProof/>
              </w:rPr>
              <w:t>8.</w:t>
            </w:r>
            <w:r w:rsidR="00761315">
              <w:rPr>
                <w:rFonts w:eastAsiaTheme="minorEastAsia"/>
                <w:noProof/>
                <w:lang w:eastAsia="en-GB"/>
              </w:rPr>
              <w:tab/>
            </w:r>
            <w:r w:rsidR="00761315" w:rsidRPr="00FC3EC3">
              <w:rPr>
                <w:rStyle w:val="Hyperlink"/>
                <w:b/>
                <w:noProof/>
              </w:rPr>
              <w:t>Registration with the UK Information Commissioner’s Office (ICO)</w:t>
            </w:r>
            <w:r w:rsidR="00761315">
              <w:rPr>
                <w:noProof/>
                <w:webHidden/>
              </w:rPr>
              <w:tab/>
            </w:r>
            <w:r w:rsidR="00761315">
              <w:rPr>
                <w:noProof/>
                <w:webHidden/>
              </w:rPr>
              <w:fldChar w:fldCharType="begin"/>
            </w:r>
            <w:r w:rsidR="00761315">
              <w:rPr>
                <w:noProof/>
                <w:webHidden/>
              </w:rPr>
              <w:instrText xml:space="preserve"> PAGEREF _Toc144717633 \h </w:instrText>
            </w:r>
            <w:r w:rsidR="00761315">
              <w:rPr>
                <w:noProof/>
                <w:webHidden/>
              </w:rPr>
            </w:r>
            <w:r w:rsidR="00761315">
              <w:rPr>
                <w:noProof/>
                <w:webHidden/>
              </w:rPr>
              <w:fldChar w:fldCharType="separate"/>
            </w:r>
            <w:r w:rsidR="00761315">
              <w:rPr>
                <w:noProof/>
                <w:webHidden/>
              </w:rPr>
              <w:t>18</w:t>
            </w:r>
            <w:r w:rsidR="00761315">
              <w:rPr>
                <w:noProof/>
                <w:webHidden/>
              </w:rPr>
              <w:fldChar w:fldCharType="end"/>
            </w:r>
          </w:hyperlink>
        </w:p>
        <w:p w14:paraId="4DA715F7" w14:textId="77777777" w:rsidR="00646696" w:rsidRPr="00646696" w:rsidRDefault="00646696">
          <w:pPr>
            <w:rPr>
              <w:b/>
            </w:rPr>
          </w:pPr>
          <w:r w:rsidRPr="00646696">
            <w:rPr>
              <w:b/>
              <w:bCs/>
              <w:noProof/>
            </w:rPr>
            <w:fldChar w:fldCharType="end"/>
          </w:r>
        </w:p>
      </w:sdtContent>
    </w:sdt>
    <w:p w14:paraId="1E0294D3" w14:textId="77777777" w:rsidR="00BE3CD6" w:rsidRDefault="00BE3CD6"/>
    <w:p w14:paraId="6414324D" w14:textId="77777777" w:rsidR="00BE3CD6" w:rsidRDefault="00BE3CD6">
      <w:r>
        <w:br w:type="page"/>
      </w:r>
    </w:p>
    <w:p w14:paraId="75DA9108" w14:textId="77777777" w:rsidR="00BE3CD6" w:rsidRDefault="00BE3CD6"/>
    <w:p w14:paraId="5CFAD0AC" w14:textId="77777777" w:rsidR="00BE3CD6" w:rsidRPr="00646696" w:rsidRDefault="00646696" w:rsidP="00646696">
      <w:pPr>
        <w:pStyle w:val="Heading1"/>
        <w:numPr>
          <w:ilvl w:val="0"/>
          <w:numId w:val="1"/>
        </w:numPr>
        <w:rPr>
          <w:b/>
        </w:rPr>
      </w:pPr>
      <w:bookmarkStart w:id="1" w:name="_Toc144717585"/>
      <w:r w:rsidRPr="00646696">
        <w:rPr>
          <w:b/>
        </w:rPr>
        <w:t>Introduction</w:t>
      </w:r>
      <w:bookmarkEnd w:id="1"/>
    </w:p>
    <w:p w14:paraId="1D243E90" w14:textId="37EA1FE4" w:rsidR="00122AB6" w:rsidRDefault="00892606" w:rsidP="00122AB6">
      <w:r>
        <w:t>The right to privacy is a fundamental right</w:t>
      </w:r>
      <w:r w:rsidR="009075C1">
        <w:t xml:space="preserve">, enshrined in the European </w:t>
      </w:r>
      <w:r w:rsidR="007432EA">
        <w:t>C</w:t>
      </w:r>
      <w:r w:rsidR="009075C1">
        <w:t>onvention on Human Rights</w:t>
      </w:r>
      <w:r>
        <w:t>. There have been data protection laws in place for some time,</w:t>
      </w:r>
      <w:r w:rsidR="009075C1">
        <w:t xml:space="preserve"> t</w:t>
      </w:r>
      <w:r>
        <w:t xml:space="preserve">he most recent change </w:t>
      </w:r>
      <w:r w:rsidR="009075C1">
        <w:t>being</w:t>
      </w:r>
      <w:r>
        <w:t xml:space="preserve"> the introduction of the EU General Data Protection Regulation (GDPR) and the UK Data Protection Act 2018</w:t>
      </w:r>
      <w:r w:rsidR="007452E9">
        <w:t xml:space="preserve"> (DPA)</w:t>
      </w:r>
      <w:r>
        <w:t>. Even though the UK is no longer a member of the EU</w:t>
      </w:r>
      <w:r w:rsidR="009075C1">
        <w:t>,</w:t>
      </w:r>
      <w:r>
        <w:t xml:space="preserve"> the </w:t>
      </w:r>
      <w:r w:rsidR="009075C1">
        <w:t>UK G</w:t>
      </w:r>
      <w:r>
        <w:t xml:space="preserve">overnment has legislated to ensure the DPA and the </w:t>
      </w:r>
      <w:r w:rsidR="00761315">
        <w:t xml:space="preserve">revised </w:t>
      </w:r>
      <w:r>
        <w:t>UK GDPR will</w:t>
      </w:r>
      <w:r w:rsidR="007452E9">
        <w:t xml:space="preserve"> </w:t>
      </w:r>
      <w:r w:rsidR="009075C1">
        <w:t>maintain equivalent</w:t>
      </w:r>
      <w:r>
        <w:t xml:space="preserve"> high standards of protecting individuals’ rights under privacy laws. This guidance provides </w:t>
      </w:r>
      <w:r w:rsidR="009075C1">
        <w:t>c</w:t>
      </w:r>
      <w:r>
        <w:t xml:space="preserve">ongregations </w:t>
      </w:r>
      <w:r w:rsidR="00122AB6">
        <w:t xml:space="preserve">an overview of the main provisions of data protection laws. Further guidance, a set of FAQs and styles relating to specific areas where policies or procedures are required under law, are also available for use by </w:t>
      </w:r>
      <w:r w:rsidR="009075C1">
        <w:t>c</w:t>
      </w:r>
      <w:r w:rsidR="00122AB6">
        <w:t xml:space="preserve">ongregations and Presbyteries. </w:t>
      </w:r>
    </w:p>
    <w:p w14:paraId="1280D941" w14:textId="77777777" w:rsidR="00646696" w:rsidRPr="00646696" w:rsidRDefault="00646696" w:rsidP="00646696">
      <w:pPr>
        <w:pStyle w:val="Heading1"/>
        <w:numPr>
          <w:ilvl w:val="0"/>
          <w:numId w:val="1"/>
        </w:numPr>
        <w:rPr>
          <w:b/>
        </w:rPr>
      </w:pPr>
      <w:bookmarkStart w:id="2" w:name="_Toc144717586"/>
      <w:r w:rsidRPr="00646696">
        <w:rPr>
          <w:b/>
        </w:rPr>
        <w:t>The Key Definitions</w:t>
      </w:r>
      <w:bookmarkEnd w:id="2"/>
    </w:p>
    <w:p w14:paraId="741B5C44" w14:textId="43EAA788" w:rsidR="00D53ED4" w:rsidRDefault="008E6DF2" w:rsidP="00D53ED4">
      <w:pPr>
        <w:spacing w:after="0" w:line="240" w:lineRule="auto"/>
      </w:pPr>
      <w:r>
        <w:t xml:space="preserve">Before looking at the </w:t>
      </w:r>
      <w:r w:rsidR="00D53ED4">
        <w:t xml:space="preserve">key data protection </w:t>
      </w:r>
      <w:r>
        <w:t xml:space="preserve">principles </w:t>
      </w:r>
      <w:r w:rsidR="00D53ED4">
        <w:t xml:space="preserve">which have underpinned data protection laws for a number of years, </w:t>
      </w:r>
      <w:r>
        <w:t xml:space="preserve">it is worth reviewing the key definitions in the </w:t>
      </w:r>
      <w:r w:rsidR="00D53ED4">
        <w:t>law</w:t>
      </w:r>
      <w:r>
        <w:t>. These are:</w:t>
      </w:r>
    </w:p>
    <w:p w14:paraId="1C29F828" w14:textId="77777777" w:rsidR="009075C1" w:rsidRDefault="009075C1" w:rsidP="00D53ED4">
      <w:pPr>
        <w:spacing w:after="0" w:line="240" w:lineRule="auto"/>
      </w:pPr>
    </w:p>
    <w:p w14:paraId="58AF8BBF" w14:textId="321DD921" w:rsidR="00D53ED4" w:rsidRDefault="009075C1" w:rsidP="00D53ED4">
      <w:pPr>
        <w:pStyle w:val="ListParagraph"/>
        <w:numPr>
          <w:ilvl w:val="0"/>
          <w:numId w:val="2"/>
        </w:numPr>
        <w:spacing w:after="0" w:line="240" w:lineRule="auto"/>
      </w:pPr>
      <w:r>
        <w:t>‘</w:t>
      </w:r>
      <w:r w:rsidR="008E6DF2">
        <w:t>Personal data</w:t>
      </w:r>
      <w:r>
        <w:t>’</w:t>
      </w:r>
    </w:p>
    <w:p w14:paraId="6190FFB8" w14:textId="2BD6335D" w:rsidR="00D53ED4" w:rsidRDefault="009075C1" w:rsidP="00D53ED4">
      <w:pPr>
        <w:pStyle w:val="ListParagraph"/>
        <w:numPr>
          <w:ilvl w:val="0"/>
          <w:numId w:val="2"/>
        </w:numPr>
        <w:spacing w:after="0" w:line="240" w:lineRule="auto"/>
      </w:pPr>
      <w:r>
        <w:t>‘</w:t>
      </w:r>
      <w:r w:rsidR="008E6DF2">
        <w:t>Processing</w:t>
      </w:r>
      <w:r>
        <w:t>’</w:t>
      </w:r>
    </w:p>
    <w:p w14:paraId="12AF0DD0" w14:textId="461FF2BE" w:rsidR="00D53ED4" w:rsidRDefault="009075C1" w:rsidP="00D53ED4">
      <w:pPr>
        <w:pStyle w:val="ListParagraph"/>
        <w:numPr>
          <w:ilvl w:val="0"/>
          <w:numId w:val="2"/>
        </w:numPr>
        <w:spacing w:after="0" w:line="240" w:lineRule="auto"/>
      </w:pPr>
      <w:r>
        <w:t>‘</w:t>
      </w:r>
      <w:r w:rsidR="00D53ED4">
        <w:t>C</w:t>
      </w:r>
      <w:r w:rsidR="008E6DF2">
        <w:t>ontroller</w:t>
      </w:r>
      <w:r>
        <w:t>’</w:t>
      </w:r>
      <w:r w:rsidR="008E6DF2">
        <w:t xml:space="preserve"> </w:t>
      </w:r>
    </w:p>
    <w:p w14:paraId="60B1A17A" w14:textId="5A488D47" w:rsidR="00D53ED4" w:rsidRDefault="009075C1" w:rsidP="00AD033D">
      <w:pPr>
        <w:pStyle w:val="ListParagraph"/>
        <w:numPr>
          <w:ilvl w:val="0"/>
          <w:numId w:val="2"/>
        </w:numPr>
        <w:spacing w:after="0" w:line="240" w:lineRule="auto"/>
      </w:pPr>
      <w:r>
        <w:t>‘</w:t>
      </w:r>
      <w:r w:rsidR="00D53ED4">
        <w:t>P</w:t>
      </w:r>
      <w:r w:rsidR="008E6DF2">
        <w:t>rocessor</w:t>
      </w:r>
      <w:r>
        <w:t>’</w:t>
      </w:r>
      <w:r w:rsidR="008E6DF2">
        <w:t xml:space="preserve"> </w:t>
      </w:r>
    </w:p>
    <w:p w14:paraId="198CB903" w14:textId="77777777" w:rsidR="00AD033D" w:rsidRDefault="00AD033D" w:rsidP="00AD033D">
      <w:pPr>
        <w:pStyle w:val="ListParagraph"/>
        <w:spacing w:after="0" w:line="240" w:lineRule="auto"/>
      </w:pPr>
    </w:p>
    <w:p w14:paraId="46A26CF3" w14:textId="77777777" w:rsidR="00D53ED4" w:rsidRDefault="008E6DF2">
      <w:r w:rsidRPr="00D53ED4">
        <w:rPr>
          <w:b/>
        </w:rPr>
        <w:t>Personal data</w:t>
      </w:r>
      <w:r>
        <w:t xml:space="preserve"> </w:t>
      </w:r>
      <w:r w:rsidR="00D53ED4">
        <w:t xml:space="preserve">This is defined </w:t>
      </w:r>
      <w:r>
        <w:t>as: “</w:t>
      </w:r>
      <w:r w:rsidRPr="00D53ED4">
        <w:rPr>
          <w:i/>
        </w:rPr>
        <w:t xml:space="preserve">any information relating to an identified or identifiable natural person (called a “data subject”); an identifiable natural person is one who can be identified, directly or indirectly, in particular by reference to an identifier such as a name, an identification number, location data, an online identifier or one or more factors specific to the physical, physiological, genetic, mental, economic, cultural or societal identity of that natural person.” </w:t>
      </w:r>
    </w:p>
    <w:p w14:paraId="603A7D58" w14:textId="0706F8C5" w:rsidR="009A118E" w:rsidRDefault="00D53ED4">
      <w:r>
        <w:t>This</w:t>
      </w:r>
      <w:r w:rsidR="008E6DF2">
        <w:t xml:space="preserve"> definition relates to living individuals and to data held electronically or </w:t>
      </w:r>
      <w:r w:rsidR="007E7654">
        <w:t>i</w:t>
      </w:r>
      <w:r w:rsidR="008E6DF2">
        <w:t xml:space="preserve">n paper records/in manual filing systems. </w:t>
      </w:r>
      <w:r>
        <w:t>There is also</w:t>
      </w:r>
      <w:r w:rsidR="008E6DF2">
        <w:t xml:space="preserve"> inclusion of location data, online identifiers </w:t>
      </w:r>
      <w:r>
        <w:t xml:space="preserve">(e.g. IP addresses) </w:t>
      </w:r>
      <w:r w:rsidR="008E6DF2">
        <w:t>and genetic</w:t>
      </w:r>
      <w:r w:rsidR="0044589E">
        <w:t xml:space="preserve"> or </w:t>
      </w:r>
      <w:r>
        <w:t>biometric</w:t>
      </w:r>
      <w:r w:rsidR="008E6DF2">
        <w:t xml:space="preserve"> data. The definition </w:t>
      </w:r>
      <w:r w:rsidR="007E7654">
        <w:t xml:space="preserve">may </w:t>
      </w:r>
      <w:r w:rsidR="008E6DF2">
        <w:t xml:space="preserve">include digital photographs and videos, where images are clear enough to enable individuals to be identified. Other examples of the sort of personal data commonly held by congregations are: </w:t>
      </w:r>
    </w:p>
    <w:p w14:paraId="3EE7755B" w14:textId="77777777" w:rsidR="009A118E" w:rsidRDefault="008E6DF2" w:rsidP="009A118E">
      <w:pPr>
        <w:pStyle w:val="ListParagraph"/>
        <w:numPr>
          <w:ilvl w:val="0"/>
          <w:numId w:val="10"/>
        </w:numPr>
      </w:pPr>
      <w:r>
        <w:t xml:space="preserve">staff/payroll records; </w:t>
      </w:r>
    </w:p>
    <w:p w14:paraId="508DFC79" w14:textId="77777777" w:rsidR="009A118E" w:rsidRDefault="008E6DF2" w:rsidP="009A118E">
      <w:pPr>
        <w:pStyle w:val="ListParagraph"/>
        <w:numPr>
          <w:ilvl w:val="0"/>
          <w:numId w:val="10"/>
        </w:numPr>
      </w:pPr>
      <w:r>
        <w:t xml:space="preserve">membership lists; </w:t>
      </w:r>
    </w:p>
    <w:p w14:paraId="721B94AE" w14:textId="77777777" w:rsidR="009A118E" w:rsidRDefault="008E6DF2" w:rsidP="009A118E">
      <w:pPr>
        <w:pStyle w:val="ListParagraph"/>
        <w:numPr>
          <w:ilvl w:val="0"/>
          <w:numId w:val="10"/>
        </w:numPr>
      </w:pPr>
      <w:r>
        <w:t xml:space="preserve">baptismal records; </w:t>
      </w:r>
    </w:p>
    <w:p w14:paraId="2723D88A" w14:textId="77777777" w:rsidR="009A118E" w:rsidRDefault="008E6DF2" w:rsidP="009A118E">
      <w:pPr>
        <w:pStyle w:val="ListParagraph"/>
        <w:numPr>
          <w:ilvl w:val="0"/>
          <w:numId w:val="10"/>
        </w:numPr>
      </w:pPr>
      <w:r>
        <w:t xml:space="preserve">information relating to pastoral care; </w:t>
      </w:r>
    </w:p>
    <w:p w14:paraId="2536ED64" w14:textId="77777777" w:rsidR="009A118E" w:rsidRDefault="008E6DF2" w:rsidP="009A118E">
      <w:pPr>
        <w:pStyle w:val="ListParagraph"/>
        <w:numPr>
          <w:ilvl w:val="0"/>
          <w:numId w:val="10"/>
        </w:numPr>
      </w:pPr>
      <w:r>
        <w:t xml:space="preserve">information regarding those attending holiday clubs or other activities; </w:t>
      </w:r>
    </w:p>
    <w:p w14:paraId="473DE534" w14:textId="77777777" w:rsidR="009A118E" w:rsidRDefault="008E6DF2" w:rsidP="009A118E">
      <w:pPr>
        <w:pStyle w:val="ListParagraph"/>
        <w:numPr>
          <w:ilvl w:val="0"/>
          <w:numId w:val="10"/>
        </w:numPr>
      </w:pPr>
      <w:r>
        <w:t xml:space="preserve">lists of children/young people attending Sunday schools, youth groups and creches; </w:t>
      </w:r>
    </w:p>
    <w:p w14:paraId="2C8EC77F" w14:textId="77777777" w:rsidR="009A118E" w:rsidRDefault="008E6DF2" w:rsidP="009A118E">
      <w:pPr>
        <w:pStyle w:val="ListParagraph"/>
        <w:numPr>
          <w:ilvl w:val="0"/>
          <w:numId w:val="10"/>
        </w:numPr>
      </w:pPr>
      <w:r>
        <w:t>records of those for whom the congregation holds contact details for various reasons, including volunteers working with children</w:t>
      </w:r>
      <w:r w:rsidR="009A118E">
        <w:t>,</w:t>
      </w:r>
      <w:r>
        <w:t xml:space="preserve"> young people and others, </w:t>
      </w:r>
    </w:p>
    <w:p w14:paraId="7C88112D" w14:textId="77777777" w:rsidR="009A118E" w:rsidRDefault="008E6DF2" w:rsidP="009A118E">
      <w:pPr>
        <w:pStyle w:val="ListParagraph"/>
        <w:numPr>
          <w:ilvl w:val="0"/>
          <w:numId w:val="10"/>
        </w:numPr>
      </w:pPr>
      <w:r>
        <w:t xml:space="preserve">those attending churches, </w:t>
      </w:r>
    </w:p>
    <w:p w14:paraId="0B07D47A" w14:textId="77777777" w:rsidR="009A118E" w:rsidRDefault="008E6DF2" w:rsidP="009A118E">
      <w:pPr>
        <w:pStyle w:val="ListParagraph"/>
        <w:numPr>
          <w:ilvl w:val="0"/>
          <w:numId w:val="10"/>
        </w:numPr>
      </w:pPr>
      <w:r>
        <w:t xml:space="preserve">making Gift Aid donations etc. </w:t>
      </w:r>
    </w:p>
    <w:p w14:paraId="466EF9CD" w14:textId="4CA80F5E" w:rsidR="00D53ED4" w:rsidRDefault="008E6DF2" w:rsidP="009A118E">
      <w:r>
        <w:lastRenderedPageBreak/>
        <w:t>These are examples only and there may be other types of personal data held. C</w:t>
      </w:r>
      <w:r w:rsidR="007E7654">
        <w:t>ongregations</w:t>
      </w:r>
      <w:r>
        <w:t xml:space="preserve"> with websites with a facility to collect data, such as a “contact us” form should be aware that the information supplied by any enquirer is personal data and will have to be held by the </w:t>
      </w:r>
      <w:r w:rsidR="007E7654">
        <w:t>congregation</w:t>
      </w:r>
      <w:r>
        <w:t xml:space="preserve"> in accordance with data protection law. Further, if a </w:t>
      </w:r>
      <w:r w:rsidR="007E7654">
        <w:t>congregation</w:t>
      </w:r>
      <w:r>
        <w:t xml:space="preserve"> uses cookies on its website to monitor browsing, it will be collecting personal data of that individual</w:t>
      </w:r>
      <w:r w:rsidR="00D53ED4">
        <w:t xml:space="preserve"> and an appropriate cookie policy should be in place </w:t>
      </w:r>
      <w:r w:rsidR="007E7654">
        <w:t>with</w:t>
      </w:r>
      <w:r w:rsidR="00D53ED4">
        <w:t xml:space="preserve"> functionality to allow the user to refuse </w:t>
      </w:r>
      <w:r w:rsidR="007432EA">
        <w:t xml:space="preserve">all </w:t>
      </w:r>
      <w:r w:rsidR="00D53ED4">
        <w:t>cookies</w:t>
      </w:r>
      <w:r>
        <w:t xml:space="preserve">. </w:t>
      </w:r>
      <w:r w:rsidR="00767EC7">
        <w:t>Further guidance on cookies is available on the ICO website</w:t>
      </w:r>
      <w:r w:rsidR="0044589E">
        <w:t xml:space="preserve"> </w:t>
      </w:r>
      <w:hyperlink r:id="rId8" w:history="1">
        <w:r w:rsidR="0044589E">
          <w:rPr>
            <w:rStyle w:val="Hyperlink"/>
          </w:rPr>
          <w:t>Guidance on the use of cookies and similar technologies | ICO</w:t>
        </w:r>
      </w:hyperlink>
    </w:p>
    <w:p w14:paraId="2A721121" w14:textId="66625F77" w:rsidR="0000402B" w:rsidRDefault="008E6DF2" w:rsidP="0000402B">
      <w:r w:rsidRPr="00D53ED4">
        <w:rPr>
          <w:b/>
        </w:rPr>
        <w:t>Processing</w:t>
      </w:r>
      <w:r>
        <w:t xml:space="preserve"> </w:t>
      </w:r>
      <w:r w:rsidR="00D53ED4">
        <w:t xml:space="preserve">is defined in law as </w:t>
      </w:r>
      <w:r w:rsidR="00D53ED4" w:rsidRPr="0000402B">
        <w:rPr>
          <w:i/>
        </w:rPr>
        <w:t>“</w:t>
      </w:r>
      <w:r w:rsidR="0000402B" w:rsidRPr="0000402B">
        <w:rPr>
          <w:i/>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0000402B">
        <w:t xml:space="preserve"> This definition is broad and captures all activities that are carried out with personal data. It</w:t>
      </w:r>
      <w:r>
        <w:t xml:space="preserve"> includes collecting, editing, storing, holding, disclosing, sharing, viewing, recording, listening, erasing, deleting etc. Individuals responsible for processing personal information in </w:t>
      </w:r>
      <w:r w:rsidR="007E7654">
        <w:t>congregations</w:t>
      </w:r>
      <w:r>
        <w:t xml:space="preserve"> may include the minister and other office bearers, treasurers, administrators, group leaders, safeguarding coordinators and others. </w:t>
      </w:r>
    </w:p>
    <w:p w14:paraId="7507E8CA" w14:textId="77777777" w:rsidR="0000402B" w:rsidRPr="0000402B" w:rsidRDefault="0000402B" w:rsidP="0000402B">
      <w:pPr>
        <w:rPr>
          <w:i/>
        </w:rPr>
      </w:pPr>
      <w:r w:rsidRPr="0000402B">
        <w:rPr>
          <w:b/>
        </w:rPr>
        <w:t>C</w:t>
      </w:r>
      <w:r w:rsidR="008E6DF2" w:rsidRPr="0000402B">
        <w:rPr>
          <w:b/>
        </w:rPr>
        <w:t xml:space="preserve">ontroller </w:t>
      </w:r>
      <w:r>
        <w:t xml:space="preserve">is defined in law as </w:t>
      </w:r>
      <w:r w:rsidRPr="0000402B">
        <w:rPr>
          <w:i/>
        </w:rPr>
        <w:t>“the natural or legal person, public authority, agency or other body which, alone or jointly with others, determines the purposes and means of the processing of personal data”</w:t>
      </w:r>
    </w:p>
    <w:p w14:paraId="4B7A8A5D" w14:textId="0AF31904" w:rsidR="0000402B" w:rsidRDefault="008E6DF2" w:rsidP="0000402B">
      <w:r>
        <w:t xml:space="preserve">In </w:t>
      </w:r>
      <w:r w:rsidR="002D7419">
        <w:t>C</w:t>
      </w:r>
      <w:r>
        <w:t>ongregations there may be more than one controller. For some personal data it will be the Kirk Session, for others it will be the Congregational Board (the members of which are also the charity trustees), and for others it will be the minister. It will depend on the personal data in question. The “controller” also includes all staff and volunteers who work for the controller entity</w:t>
      </w:r>
      <w:r w:rsidR="000A19BA">
        <w:t>.</w:t>
      </w:r>
      <w:r>
        <w:t xml:space="preserve"> It is important that such staff/volunteers are adequately trained in respect of what is required of them under data protection law, as any data breach by them could lead to the congregation being liable. For example, staff/volunteers </w:t>
      </w:r>
      <w:r w:rsidR="00CA1CEC" w:rsidRPr="00057FE5">
        <w:rPr>
          <w:u w:val="single"/>
        </w:rPr>
        <w:t xml:space="preserve">must </w:t>
      </w:r>
      <w:r w:rsidRPr="00057FE5">
        <w:rPr>
          <w:u w:val="single"/>
        </w:rPr>
        <w:t>not</w:t>
      </w:r>
      <w:r>
        <w:t xml:space="preserve"> use any personal information being processed on behalf of the congregation for their </w:t>
      </w:r>
      <w:r w:rsidR="00452EDC">
        <w:t xml:space="preserve">own </w:t>
      </w:r>
      <w:r>
        <w:t>personal use</w:t>
      </w:r>
      <w:r w:rsidR="00630963">
        <w:t>.</w:t>
      </w:r>
      <w:r w:rsidR="00057FE5">
        <w:t xml:space="preserve"> </w:t>
      </w:r>
      <w:r w:rsidR="00630963">
        <w:t>T</w:t>
      </w:r>
      <w:r w:rsidR="0044589E">
        <w:t>his is unlawful under Section 170 of the Data Protection Act 2018 and individuals can be prosecuted by the regulator</w:t>
      </w:r>
      <w:r>
        <w:t>. Personal information must be used only for the specific purposes for which it has been lawfully obtained (see below for more on this</w:t>
      </w:r>
      <w:r w:rsidR="00CA1CEC">
        <w:t xml:space="preserve"> and the other data protection principles</w:t>
      </w:r>
      <w:r>
        <w:t xml:space="preserve">). </w:t>
      </w:r>
    </w:p>
    <w:p w14:paraId="371AEABA" w14:textId="2B135FE8" w:rsidR="00BE3CD6" w:rsidRPr="00F914EF" w:rsidRDefault="0000402B" w:rsidP="0000402B">
      <w:pPr>
        <w:rPr>
          <w:i/>
        </w:rPr>
      </w:pPr>
      <w:r w:rsidRPr="00F914EF">
        <w:rPr>
          <w:b/>
        </w:rPr>
        <w:t>P</w:t>
      </w:r>
      <w:r w:rsidR="008E6DF2" w:rsidRPr="00F914EF">
        <w:rPr>
          <w:b/>
        </w:rPr>
        <w:t xml:space="preserve">rocessor </w:t>
      </w:r>
      <w:r>
        <w:t xml:space="preserve">is defined in law as </w:t>
      </w:r>
      <w:r w:rsidRPr="0000402B">
        <w:rPr>
          <w:i/>
        </w:rPr>
        <w:t>“a natural or legal person, public authority, agency or other body which processes personal data on behalf of the controller</w:t>
      </w:r>
      <w:r w:rsidR="00F914EF">
        <w:rPr>
          <w:i/>
        </w:rPr>
        <w:t>.</w:t>
      </w:r>
      <w:r w:rsidRPr="0000402B">
        <w:rPr>
          <w:i/>
        </w:rPr>
        <w:t>”</w:t>
      </w:r>
      <w:r w:rsidR="00F914EF">
        <w:rPr>
          <w:i/>
        </w:rPr>
        <w:t xml:space="preserve">  </w:t>
      </w:r>
      <w:r w:rsidR="008E6DF2">
        <w:t>This could be a third party who has been asked by the congregation to carry out processing on its behalf</w:t>
      </w:r>
      <w:r w:rsidR="00F914EF">
        <w:t xml:space="preserve">. </w:t>
      </w:r>
      <w:r w:rsidR="008E6DF2">
        <w:t xml:space="preserve">An example would be an IT supplier engaged by a </w:t>
      </w:r>
      <w:r w:rsidR="00630963">
        <w:t>congregation</w:t>
      </w:r>
      <w:r w:rsidR="008E6DF2">
        <w:t xml:space="preserve"> to provide a new system on which personal information will be stored. </w:t>
      </w:r>
      <w:r w:rsidR="00F914EF">
        <w:t>Under data protection laws</w:t>
      </w:r>
      <w:r w:rsidR="00630963">
        <w:t>,</w:t>
      </w:r>
      <w:r w:rsidR="008E6DF2">
        <w:t xml:space="preserve"> processors will be jointly and severally liable with controllers for data breaches, to the extent for which they are responsible. </w:t>
      </w:r>
      <w:r w:rsidR="00F914EF">
        <w:t>Any</w:t>
      </w:r>
      <w:r w:rsidR="008E6DF2">
        <w:t xml:space="preserve"> congregation using, or considering the use of, a processor should have an appropriate written contract with that processor and should seek guidance from the </w:t>
      </w:r>
      <w:hyperlink r:id="rId9" w:history="1">
        <w:r w:rsidR="008E6DF2" w:rsidRPr="0044589E">
          <w:rPr>
            <w:rStyle w:val="Hyperlink"/>
          </w:rPr>
          <w:t>Law Department</w:t>
        </w:r>
      </w:hyperlink>
      <w:r w:rsidR="008E6DF2">
        <w:t xml:space="preserve"> as to the terms of that contract. </w:t>
      </w:r>
    </w:p>
    <w:p w14:paraId="1EABAC5A" w14:textId="77777777" w:rsidR="00646696" w:rsidRDefault="008E6DF2" w:rsidP="00646696">
      <w:pPr>
        <w:pStyle w:val="Heading1"/>
        <w:numPr>
          <w:ilvl w:val="0"/>
          <w:numId w:val="1"/>
        </w:numPr>
      </w:pPr>
      <w:bookmarkStart w:id="3" w:name="_Toc144717587"/>
      <w:r w:rsidRPr="00BE3CD6">
        <w:lastRenderedPageBreak/>
        <w:t>Special category data</w:t>
      </w:r>
      <w:bookmarkEnd w:id="3"/>
      <w:r>
        <w:t xml:space="preserve"> </w:t>
      </w:r>
    </w:p>
    <w:p w14:paraId="3AFFB6D0" w14:textId="73F6C24E" w:rsidR="00F914EF" w:rsidRDefault="008E6DF2" w:rsidP="00F914EF">
      <w:r>
        <w:t xml:space="preserve">It is important that congregations are aware of </w:t>
      </w:r>
      <w:r w:rsidR="00F914EF">
        <w:t xml:space="preserve">what special category data is </w:t>
      </w:r>
      <w:r>
        <w:t>and understand</w:t>
      </w:r>
      <w:r w:rsidR="00F914EF">
        <w:t xml:space="preserve"> that it requires additional safeguards to protect the data</w:t>
      </w:r>
      <w:r w:rsidR="00057FE5">
        <w:t>.</w:t>
      </w:r>
      <w:r>
        <w:t xml:space="preserve"> It is personal data which are stated to be more sensitive than other types, and so require additional protection and safeguards. </w:t>
      </w:r>
      <w:r w:rsidR="00F914EF">
        <w:t xml:space="preserve">Special category data </w:t>
      </w:r>
      <w:r w:rsidR="00E176BB">
        <w:t>is</w:t>
      </w:r>
      <w:r>
        <w:t xml:space="preserve">: </w:t>
      </w:r>
    </w:p>
    <w:p w14:paraId="120FE8E4" w14:textId="69574D0A" w:rsidR="00F914EF" w:rsidRDefault="00630963" w:rsidP="00F914EF">
      <w:pPr>
        <w:pStyle w:val="ListParagraph"/>
        <w:numPr>
          <w:ilvl w:val="0"/>
          <w:numId w:val="3"/>
        </w:numPr>
      </w:pPr>
      <w:r>
        <w:t xml:space="preserve">Information which discloses </w:t>
      </w:r>
      <w:r w:rsidR="00F914EF">
        <w:t xml:space="preserve">racial or ethnic origin, </w:t>
      </w:r>
      <w:r>
        <w:t>political opinions, religious or philosophical beliefs or trade union membership</w:t>
      </w:r>
      <w:r w:rsidR="00F914EF">
        <w:t xml:space="preserve">, </w:t>
      </w:r>
    </w:p>
    <w:p w14:paraId="07663059" w14:textId="2BCDEE90" w:rsidR="00F914EF" w:rsidRDefault="00F914EF" w:rsidP="00F914EF">
      <w:pPr>
        <w:pStyle w:val="ListParagraph"/>
        <w:numPr>
          <w:ilvl w:val="0"/>
          <w:numId w:val="3"/>
        </w:numPr>
      </w:pPr>
      <w:r>
        <w:t>genetic data</w:t>
      </w:r>
    </w:p>
    <w:p w14:paraId="76597EAD" w14:textId="1645E50E" w:rsidR="00F914EF" w:rsidRDefault="00F914EF" w:rsidP="00F914EF">
      <w:pPr>
        <w:pStyle w:val="ListParagraph"/>
        <w:numPr>
          <w:ilvl w:val="0"/>
          <w:numId w:val="3"/>
        </w:numPr>
      </w:pPr>
      <w:r>
        <w:t>biometric data for the purpose of uniquely identifying a natural person</w:t>
      </w:r>
    </w:p>
    <w:p w14:paraId="625DA377" w14:textId="77777777" w:rsidR="00F914EF" w:rsidRDefault="00F914EF" w:rsidP="00F914EF">
      <w:pPr>
        <w:pStyle w:val="ListParagraph"/>
        <w:numPr>
          <w:ilvl w:val="0"/>
          <w:numId w:val="3"/>
        </w:numPr>
      </w:pPr>
      <w:r>
        <w:t xml:space="preserve">data concerning health or </w:t>
      </w:r>
    </w:p>
    <w:p w14:paraId="3D54E65F" w14:textId="77777777" w:rsidR="00F914EF" w:rsidRDefault="00F914EF" w:rsidP="00F914EF">
      <w:pPr>
        <w:pStyle w:val="ListParagraph"/>
        <w:numPr>
          <w:ilvl w:val="0"/>
          <w:numId w:val="3"/>
        </w:numPr>
      </w:pPr>
      <w:r>
        <w:t>data concerning a natural person's sex life or sexual orientation</w:t>
      </w:r>
    </w:p>
    <w:p w14:paraId="7D1691B1" w14:textId="16233705" w:rsidR="00F914EF" w:rsidRDefault="008E6DF2" w:rsidP="00F914EF">
      <w:r>
        <w:t xml:space="preserve">Most of the personal data processed by </w:t>
      </w:r>
      <w:r w:rsidR="00630963">
        <w:t>c</w:t>
      </w:r>
      <w:r>
        <w:t xml:space="preserve">ongregations about individuals will come under the definition of special category data, either specifically or by implication, as the mere holding of any information about a person by a </w:t>
      </w:r>
      <w:r w:rsidR="00630963">
        <w:t>c</w:t>
      </w:r>
      <w:r>
        <w:t xml:space="preserve">ongregation is likely to be indicative of that person’s religious beliefs. </w:t>
      </w:r>
    </w:p>
    <w:p w14:paraId="65E02291" w14:textId="73845CD5" w:rsidR="004E3670" w:rsidRDefault="004E3670" w:rsidP="00F914EF">
      <w:r>
        <w:t>It</w:t>
      </w:r>
      <w:r w:rsidR="002D7419">
        <w:t xml:space="preserve"> i</w:t>
      </w:r>
      <w:r>
        <w:t>s important to note that one type of data which used to be classed as ‘sensitive’</w:t>
      </w:r>
      <w:r w:rsidR="0044589E">
        <w:t xml:space="preserve"> under previous </w:t>
      </w:r>
      <w:r w:rsidR="00630963">
        <w:t>legislation</w:t>
      </w:r>
      <w:r>
        <w:t xml:space="preserve"> no longer </w:t>
      </w:r>
      <w:r w:rsidR="00630963">
        <w:t>has this classification</w:t>
      </w:r>
      <w:r>
        <w:t>. This is criminal data</w:t>
      </w:r>
      <w:r w:rsidR="00630963">
        <w:t>:</w:t>
      </w:r>
      <w:r>
        <w:t xml:space="preserve"> alleged crimes, convictions etc. This is handled separately to special category data and within </w:t>
      </w:r>
      <w:r w:rsidR="00630963">
        <w:t xml:space="preserve">the </w:t>
      </w:r>
      <w:r w:rsidR="0044589E">
        <w:t xml:space="preserve">UK </w:t>
      </w:r>
      <w:r>
        <w:t>GDPR there is a specific article (Article 10) detailing how this data should be handled, what non-law enforcement organisations can do and what processing sits entirely with law enforcement and intelligence organisations.</w:t>
      </w:r>
    </w:p>
    <w:p w14:paraId="629B0AD6" w14:textId="77777777" w:rsidR="00374AF6" w:rsidRPr="00374AF6" w:rsidRDefault="00374AF6" w:rsidP="00374AF6">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4" w:name="_Toc121840179"/>
      <w:bookmarkStart w:id="5" w:name="_Toc121840284"/>
      <w:bookmarkStart w:id="6" w:name="_Toc144717588"/>
      <w:bookmarkEnd w:id="4"/>
      <w:bookmarkEnd w:id="5"/>
      <w:bookmarkEnd w:id="6"/>
    </w:p>
    <w:p w14:paraId="70FB9EBD" w14:textId="77777777" w:rsidR="00374AF6" w:rsidRPr="00374AF6" w:rsidRDefault="00374AF6" w:rsidP="00374AF6">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7" w:name="_Toc121840180"/>
      <w:bookmarkStart w:id="8" w:name="_Toc121840285"/>
      <w:bookmarkStart w:id="9" w:name="_Toc144717589"/>
      <w:bookmarkEnd w:id="7"/>
      <w:bookmarkEnd w:id="8"/>
      <w:bookmarkEnd w:id="9"/>
    </w:p>
    <w:p w14:paraId="0005A130" w14:textId="77777777" w:rsidR="00374AF6" w:rsidRPr="00374AF6" w:rsidRDefault="00374AF6" w:rsidP="00374AF6">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10" w:name="_Toc121840181"/>
      <w:bookmarkStart w:id="11" w:name="_Toc121840286"/>
      <w:bookmarkStart w:id="12" w:name="_Toc144717590"/>
      <w:bookmarkEnd w:id="10"/>
      <w:bookmarkEnd w:id="11"/>
      <w:bookmarkEnd w:id="12"/>
    </w:p>
    <w:p w14:paraId="730570E5" w14:textId="77777777" w:rsidR="004E3670" w:rsidRDefault="008E6DF2" w:rsidP="0016595F">
      <w:pPr>
        <w:pStyle w:val="Heading2"/>
        <w:numPr>
          <w:ilvl w:val="1"/>
          <w:numId w:val="5"/>
        </w:numPr>
        <w:ind w:left="426" w:hanging="426"/>
      </w:pPr>
      <w:bookmarkStart w:id="13" w:name="_Toc144717591"/>
      <w:r>
        <w:t>How should special category data be handled?</w:t>
      </w:r>
      <w:bookmarkEnd w:id="13"/>
      <w:r>
        <w:t xml:space="preserve"> </w:t>
      </w:r>
    </w:p>
    <w:p w14:paraId="32C905D1" w14:textId="0B47C0BF" w:rsidR="001531FA" w:rsidRDefault="00374AF6" w:rsidP="00F914EF">
      <w:r>
        <w:t xml:space="preserve">When processing special category </w:t>
      </w:r>
      <w:r w:rsidR="00F62DBB">
        <w:t>data,</w:t>
      </w:r>
      <w:r>
        <w:t xml:space="preserve"> it is important that there are additional measures in place to protect the data. This can include files being encrypted</w:t>
      </w:r>
      <w:r w:rsidR="00630963">
        <w:t xml:space="preserve"> </w:t>
      </w:r>
      <w:r w:rsidR="00057FE5">
        <w:t>or</w:t>
      </w:r>
      <w:r>
        <w:t xml:space="preserve"> password protected if the data is electronic. If it</w:t>
      </w:r>
      <w:r w:rsidR="00630963">
        <w:t>is</w:t>
      </w:r>
      <w:r>
        <w:t xml:space="preserve"> held </w:t>
      </w:r>
      <w:r w:rsidR="00630963">
        <w:t>i</w:t>
      </w:r>
      <w:r>
        <w:t>n a physical/paper record then it should be locked away when not in use. Access control whether electronic or physical is important to protect the sensitive data from being disclosed to unauthorised recipients.</w:t>
      </w:r>
    </w:p>
    <w:p w14:paraId="64F0F7AB" w14:textId="5ABA0779" w:rsidR="00374AF6" w:rsidRDefault="00374AF6" w:rsidP="00F914EF">
      <w:r>
        <w:t xml:space="preserve">There are two main lawful </w:t>
      </w:r>
      <w:r w:rsidR="00F62DBB">
        <w:t>bases</w:t>
      </w:r>
      <w:r>
        <w:t xml:space="preserve"> for processing special category data by </w:t>
      </w:r>
      <w:r w:rsidR="00630963">
        <w:t>c</w:t>
      </w:r>
      <w:r>
        <w:t>ongregations</w:t>
      </w:r>
      <w:r w:rsidR="008E6DF2">
        <w:t xml:space="preserve"> (although others may also apply</w:t>
      </w:r>
      <w:r w:rsidR="002D7419">
        <w:t xml:space="preserve"> in certain circumstances</w:t>
      </w:r>
      <w:r w:rsidR="008E6DF2">
        <w:t xml:space="preserve">): </w:t>
      </w:r>
    </w:p>
    <w:p w14:paraId="0B5A45AC" w14:textId="2DBD8D9E" w:rsidR="00374AF6" w:rsidRDefault="00374AF6" w:rsidP="00374AF6">
      <w:pPr>
        <w:pStyle w:val="ListParagraph"/>
        <w:numPr>
          <w:ilvl w:val="0"/>
          <w:numId w:val="4"/>
        </w:numPr>
      </w:pPr>
      <w:r w:rsidRPr="00374AF6">
        <w:t>the data subject</w:t>
      </w:r>
      <w:r>
        <w:t xml:space="preserve"> (individual)</w:t>
      </w:r>
      <w:r w:rsidRPr="00374AF6">
        <w:t xml:space="preserve"> has given explicit consent to the processing of th</w:t>
      </w:r>
      <w:r w:rsidR="00630963">
        <w:t>e</w:t>
      </w:r>
      <w:r w:rsidRPr="00374AF6">
        <w:t xml:space="preserve"> personal data for one or more specified purposes</w:t>
      </w:r>
      <w:r>
        <w:t xml:space="preserve"> (Article 9(2)(a)) </w:t>
      </w:r>
      <w:r w:rsidR="008E6DF2">
        <w:t xml:space="preserve">OR </w:t>
      </w:r>
    </w:p>
    <w:p w14:paraId="212F9634" w14:textId="0F501C45" w:rsidR="00374AF6" w:rsidRDefault="00374AF6" w:rsidP="005F2275">
      <w:pPr>
        <w:pStyle w:val="ListParagraph"/>
        <w:numPr>
          <w:ilvl w:val="0"/>
          <w:numId w:val="4"/>
        </w:numPr>
      </w:pPr>
      <w:r w:rsidRPr="00374AF6">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r>
        <w:t xml:space="preserve"> (Article 9(2)(d))</w:t>
      </w:r>
    </w:p>
    <w:p w14:paraId="39A1FDA4" w14:textId="30A1E655" w:rsidR="005B7370" w:rsidRDefault="00374AF6" w:rsidP="00057FE5">
      <w:r>
        <w:t xml:space="preserve">The </w:t>
      </w:r>
      <w:r w:rsidR="008E6DF2">
        <w:t xml:space="preserve">latter </w:t>
      </w:r>
      <w:r>
        <w:t>lawful basis</w:t>
      </w:r>
      <w:r w:rsidR="008E6DF2">
        <w:t xml:space="preserve"> </w:t>
      </w:r>
      <w:r>
        <w:t>will</w:t>
      </w:r>
      <w:r w:rsidR="008E6DF2">
        <w:t xml:space="preserve"> cover much of the data processing carried out by the Church as a whole. For some personal data processed by </w:t>
      </w:r>
      <w:r w:rsidR="00630963">
        <w:t>c</w:t>
      </w:r>
      <w:r w:rsidR="008E6DF2">
        <w:t>ongregations (or by individual ministers/office bearers), such as in connection with pastoral care and/or safeguarding matters</w:t>
      </w:r>
      <w:r w:rsidR="00AD033D">
        <w:t>,</w:t>
      </w:r>
      <w:r w:rsidR="008E6DF2">
        <w:t xml:space="preserve"> it will be obvious that it falls within the definition of special category personal data</w:t>
      </w:r>
      <w:r w:rsidR="002D7419">
        <w:t>.</w:t>
      </w:r>
    </w:p>
    <w:p w14:paraId="168C51A0" w14:textId="77777777" w:rsidR="005B7370" w:rsidRDefault="008E6DF2" w:rsidP="00057FE5">
      <w:pPr>
        <w:ind w:left="142" w:hanging="142"/>
      </w:pPr>
      <w:r>
        <w:lastRenderedPageBreak/>
        <w:t xml:space="preserve">So long as: </w:t>
      </w:r>
    </w:p>
    <w:p w14:paraId="202420D2" w14:textId="6D6925A7" w:rsidR="005B7370" w:rsidRDefault="008E6DF2" w:rsidP="00057FE5">
      <w:pPr>
        <w:pStyle w:val="ListParagraph"/>
        <w:numPr>
          <w:ilvl w:val="0"/>
          <w:numId w:val="6"/>
        </w:numPr>
        <w:ind w:left="709" w:hanging="425"/>
      </w:pPr>
      <w:r>
        <w:t xml:space="preserve">the processing is carried out in the course of the </w:t>
      </w:r>
      <w:r w:rsidR="00630963">
        <w:t>c</w:t>
      </w:r>
      <w:r w:rsidR="002D7419">
        <w:t>o</w:t>
      </w:r>
      <w:r>
        <w:t>ngregation’s legitimate activities;</w:t>
      </w:r>
    </w:p>
    <w:p w14:paraId="250BECE3" w14:textId="77777777" w:rsidR="005B7370" w:rsidRDefault="008E6DF2" w:rsidP="00057FE5">
      <w:pPr>
        <w:pStyle w:val="ListParagraph"/>
        <w:numPr>
          <w:ilvl w:val="0"/>
          <w:numId w:val="6"/>
        </w:numPr>
        <w:ind w:left="709" w:hanging="425"/>
      </w:pPr>
      <w:r>
        <w:t>there are appropriate safeguards to keep information safe and secure;</w:t>
      </w:r>
    </w:p>
    <w:p w14:paraId="558B76B6" w14:textId="75D6765E" w:rsidR="005B7370" w:rsidRDefault="008E6DF2" w:rsidP="00057FE5">
      <w:pPr>
        <w:pStyle w:val="ListParagraph"/>
        <w:numPr>
          <w:ilvl w:val="0"/>
          <w:numId w:val="6"/>
        </w:numPr>
        <w:ind w:left="709" w:hanging="425"/>
      </w:pPr>
      <w:r>
        <w:t xml:space="preserve">information relates either to members, former members, or individuals in regular contact with the </w:t>
      </w:r>
      <w:r w:rsidR="00630963">
        <w:t>congregation</w:t>
      </w:r>
      <w:r>
        <w:t xml:space="preserve">; and </w:t>
      </w:r>
    </w:p>
    <w:p w14:paraId="62561170" w14:textId="5E9BE818" w:rsidR="005B7370" w:rsidRDefault="008E6DF2" w:rsidP="00057FE5">
      <w:pPr>
        <w:pStyle w:val="ListParagraph"/>
        <w:numPr>
          <w:ilvl w:val="0"/>
          <w:numId w:val="6"/>
        </w:numPr>
        <w:ind w:left="709" w:hanging="425"/>
      </w:pPr>
      <w:r>
        <w:t xml:space="preserve">information is not disclosed to anyone else without the person’s consent then there is no need to get explicit consent, and the processing will come within the “legitimate activities” </w:t>
      </w:r>
      <w:r w:rsidR="005B7370">
        <w:t>basis</w:t>
      </w:r>
      <w:r>
        <w:t xml:space="preserve">. </w:t>
      </w:r>
    </w:p>
    <w:p w14:paraId="1E23D0AA" w14:textId="77777777" w:rsidR="00057FE5" w:rsidRDefault="00057FE5" w:rsidP="00057FE5">
      <w:pPr>
        <w:pStyle w:val="ListParagraph"/>
        <w:ind w:left="709"/>
      </w:pPr>
    </w:p>
    <w:p w14:paraId="4A255ECF" w14:textId="77777777" w:rsidR="005B7370" w:rsidRPr="005B7370" w:rsidRDefault="005B7370" w:rsidP="005B7370">
      <w:pPr>
        <w:pStyle w:val="ListParagraph"/>
        <w:keepNext/>
        <w:keepLines/>
        <w:numPr>
          <w:ilvl w:val="0"/>
          <w:numId w:val="9"/>
        </w:numPr>
        <w:spacing w:before="40" w:after="0"/>
        <w:contextualSpacing w:val="0"/>
        <w:outlineLvl w:val="1"/>
        <w:rPr>
          <w:rStyle w:val="Heading2Char"/>
          <w:vanish/>
        </w:rPr>
      </w:pPr>
      <w:bookmarkStart w:id="14" w:name="_Toc121840183"/>
      <w:bookmarkStart w:id="15" w:name="_Toc121840288"/>
      <w:bookmarkStart w:id="16" w:name="_Toc144717592"/>
      <w:bookmarkEnd w:id="14"/>
      <w:bookmarkEnd w:id="15"/>
      <w:bookmarkEnd w:id="16"/>
    </w:p>
    <w:p w14:paraId="16B30E1B" w14:textId="77777777" w:rsidR="005B7370" w:rsidRPr="005B7370" w:rsidRDefault="005B7370" w:rsidP="005B7370">
      <w:pPr>
        <w:pStyle w:val="ListParagraph"/>
        <w:keepNext/>
        <w:keepLines/>
        <w:numPr>
          <w:ilvl w:val="0"/>
          <w:numId w:val="9"/>
        </w:numPr>
        <w:spacing w:before="40" w:after="0"/>
        <w:contextualSpacing w:val="0"/>
        <w:outlineLvl w:val="1"/>
        <w:rPr>
          <w:rStyle w:val="Heading2Char"/>
          <w:vanish/>
        </w:rPr>
      </w:pPr>
      <w:bookmarkStart w:id="17" w:name="_Toc121840184"/>
      <w:bookmarkStart w:id="18" w:name="_Toc121840289"/>
      <w:bookmarkStart w:id="19" w:name="_Toc144717593"/>
      <w:bookmarkEnd w:id="17"/>
      <w:bookmarkEnd w:id="18"/>
      <w:bookmarkEnd w:id="19"/>
    </w:p>
    <w:p w14:paraId="6E30F2A7" w14:textId="77777777" w:rsidR="005B7370" w:rsidRPr="005B7370" w:rsidRDefault="005B7370" w:rsidP="005B7370">
      <w:pPr>
        <w:pStyle w:val="ListParagraph"/>
        <w:keepNext/>
        <w:keepLines/>
        <w:numPr>
          <w:ilvl w:val="0"/>
          <w:numId w:val="9"/>
        </w:numPr>
        <w:spacing w:before="40" w:after="0"/>
        <w:contextualSpacing w:val="0"/>
        <w:outlineLvl w:val="1"/>
        <w:rPr>
          <w:rStyle w:val="Heading2Char"/>
          <w:vanish/>
        </w:rPr>
      </w:pPr>
      <w:bookmarkStart w:id="20" w:name="_Toc121840185"/>
      <w:bookmarkStart w:id="21" w:name="_Toc121840290"/>
      <w:bookmarkStart w:id="22" w:name="_Toc144717594"/>
      <w:bookmarkEnd w:id="20"/>
      <w:bookmarkEnd w:id="21"/>
      <w:bookmarkEnd w:id="22"/>
    </w:p>
    <w:p w14:paraId="66D9F07E" w14:textId="77777777" w:rsidR="005B7370" w:rsidRPr="005B7370" w:rsidRDefault="005B7370" w:rsidP="005B7370">
      <w:pPr>
        <w:pStyle w:val="ListParagraph"/>
        <w:keepNext/>
        <w:keepLines/>
        <w:numPr>
          <w:ilvl w:val="1"/>
          <w:numId w:val="9"/>
        </w:numPr>
        <w:spacing w:before="40" w:after="0"/>
        <w:contextualSpacing w:val="0"/>
        <w:outlineLvl w:val="1"/>
        <w:rPr>
          <w:rStyle w:val="Heading2Char"/>
          <w:vanish/>
        </w:rPr>
      </w:pPr>
      <w:bookmarkStart w:id="23" w:name="_Toc121840186"/>
      <w:bookmarkStart w:id="24" w:name="_Toc121840291"/>
      <w:bookmarkStart w:id="25" w:name="_Toc144717595"/>
      <w:bookmarkEnd w:id="23"/>
      <w:bookmarkEnd w:id="24"/>
      <w:bookmarkEnd w:id="25"/>
    </w:p>
    <w:p w14:paraId="51EC0D7B" w14:textId="77777777" w:rsidR="005B7370" w:rsidRPr="005B7370" w:rsidRDefault="008E6DF2" w:rsidP="00753B48">
      <w:pPr>
        <w:pStyle w:val="Heading2"/>
        <w:numPr>
          <w:ilvl w:val="1"/>
          <w:numId w:val="9"/>
        </w:numPr>
        <w:ind w:left="426" w:hanging="426"/>
        <w:rPr>
          <w:rStyle w:val="Heading2Char"/>
          <w:rFonts w:asciiTheme="minorHAnsi" w:eastAsiaTheme="minorHAnsi" w:hAnsiTheme="minorHAnsi" w:cstheme="minorBidi"/>
          <w:color w:val="auto"/>
          <w:sz w:val="22"/>
          <w:szCs w:val="22"/>
        </w:rPr>
      </w:pPr>
      <w:bookmarkStart w:id="26" w:name="_Toc144717596"/>
      <w:r w:rsidRPr="005B7370">
        <w:rPr>
          <w:rStyle w:val="Heading2Char"/>
        </w:rPr>
        <w:t>How should data be handled for the purpose of the inspection of records?</w:t>
      </w:r>
      <w:bookmarkEnd w:id="26"/>
      <w:r w:rsidRPr="005B7370">
        <w:rPr>
          <w:rStyle w:val="Heading2Char"/>
        </w:rPr>
        <w:t xml:space="preserve"> </w:t>
      </w:r>
    </w:p>
    <w:p w14:paraId="67CDFD40" w14:textId="0B7CA8AA" w:rsidR="005B7370" w:rsidRDefault="008E6DF2" w:rsidP="005B7370">
      <w:r>
        <w:t xml:space="preserve">When records are transported for an inspection by Presbytery they should be moved as securely as possible using, for example, a lockable document case. Consideration should be given to whether there is scope for records to be emailed to Presbytery or provided on an encrypted USB stick. </w:t>
      </w:r>
      <w:r w:rsidR="002D7419">
        <w:t xml:space="preserve">If emailed to Presbytery, the transfer should be carried out securely with files being encrypted or password protected and the password provided in a separate email </w:t>
      </w:r>
      <w:r w:rsidR="00630963">
        <w:t>after</w:t>
      </w:r>
      <w:r w:rsidR="002D7419">
        <w:t xml:space="preserve"> confirmation that the initial email and file have been received.  </w:t>
      </w:r>
    </w:p>
    <w:p w14:paraId="64796AB9" w14:textId="43907831" w:rsidR="003C4824" w:rsidRDefault="008E6DF2" w:rsidP="005B7370">
      <w:r>
        <w:t xml:space="preserve">It is important to remember that the “legitimate activities” </w:t>
      </w:r>
      <w:r w:rsidR="0052596F">
        <w:t>lawful basis</w:t>
      </w:r>
      <w:r>
        <w:t xml:space="preserve"> </w:t>
      </w:r>
      <w:r w:rsidR="0052596F">
        <w:t xml:space="preserve">only applies if the </w:t>
      </w:r>
      <w:r>
        <w:t xml:space="preserve">special category data is not being disclosed </w:t>
      </w:r>
      <w:r w:rsidR="00F62DBB">
        <w:t>out with</w:t>
      </w:r>
      <w:r>
        <w:t xml:space="preserve"> the </w:t>
      </w:r>
      <w:r w:rsidR="00630963">
        <w:t>congregation</w:t>
      </w:r>
      <w:r>
        <w:t xml:space="preserve"> without obtaining the consent of the individual. So, for example, although the names of individuals on church rotas can be shared within the </w:t>
      </w:r>
      <w:r w:rsidR="00630963">
        <w:t>c</w:t>
      </w:r>
      <w:r>
        <w:t xml:space="preserve">ongregation, they should not appear on church websites unless the individuals concerned have given their specific written consent for that. Publishing any personal information (including photographs) on the internet is effectively making it available worldwide and </w:t>
      </w:r>
      <w:r w:rsidR="00194897">
        <w:t>must</w:t>
      </w:r>
      <w:r>
        <w:t xml:space="preserve"> not be done without </w:t>
      </w:r>
      <w:r w:rsidR="00194897">
        <w:t xml:space="preserve">explicit </w:t>
      </w:r>
      <w:r>
        <w:t>consent.</w:t>
      </w:r>
      <w:r w:rsidR="00194897">
        <w:t xml:space="preserve"> In those </w:t>
      </w:r>
      <w:r w:rsidR="00F62DBB">
        <w:t>instances,</w:t>
      </w:r>
      <w:r w:rsidR="00194897">
        <w:t xml:space="preserve"> it is important that a record is kept of that consent and </w:t>
      </w:r>
      <w:r w:rsidR="00630963">
        <w:t xml:space="preserve">that </w:t>
      </w:r>
      <w:r w:rsidR="00194897">
        <w:t xml:space="preserve">the individual is able to withdraw that consent at any time. Further guidance on consent and </w:t>
      </w:r>
      <w:hyperlink r:id="rId10" w:history="1">
        <w:r w:rsidR="00194897" w:rsidRPr="007D0F27">
          <w:rPr>
            <w:rStyle w:val="Hyperlink"/>
          </w:rPr>
          <w:t>a model consent form</w:t>
        </w:r>
      </w:hyperlink>
      <w:r w:rsidR="00194897">
        <w:t xml:space="preserve"> is available on the website.</w:t>
      </w:r>
      <w:r>
        <w:t xml:space="preserve"> </w:t>
      </w:r>
    </w:p>
    <w:p w14:paraId="21001952" w14:textId="4E506616" w:rsidR="00BE3CD6" w:rsidRDefault="00656C9F" w:rsidP="005B7370">
      <w:r>
        <w:t>“</w:t>
      </w:r>
      <w:r w:rsidR="003C4824">
        <w:t xml:space="preserve">Legitimate </w:t>
      </w:r>
      <w:r w:rsidR="00630963">
        <w:t>a</w:t>
      </w:r>
      <w:r w:rsidR="003C4824">
        <w:t>ctivities</w:t>
      </w:r>
      <w:r>
        <w:t>”</w:t>
      </w:r>
      <w:r w:rsidR="003C4824">
        <w:t xml:space="preserve"> processing will involve special category data by implication.</w:t>
      </w:r>
      <w:r w:rsidR="008E6DF2">
        <w:t xml:space="preserve"> So, for example, in relation to membership lists, the personal information processed will come under this special category as by implication it relates to religious belief, but as the processing of such information for the purposes of maintaining an accurate membership roll is part of the church’s “legitimate activities” it is permitted under the relevant </w:t>
      </w:r>
      <w:r w:rsidR="003C4824">
        <w:t>lawful basis</w:t>
      </w:r>
      <w:r w:rsidR="008E6DF2">
        <w:t xml:space="preserve"> above, with no explicit consent being required. However, before such data could be used for other purposes, such as sharing with any other party, the explicit consent of the individual would be required. </w:t>
      </w:r>
    </w:p>
    <w:p w14:paraId="1BD817AA" w14:textId="2BCB414C" w:rsidR="00BE3CD6" w:rsidRPr="00646696" w:rsidRDefault="00646696" w:rsidP="00646696">
      <w:pPr>
        <w:pStyle w:val="Heading1"/>
        <w:numPr>
          <w:ilvl w:val="0"/>
          <w:numId w:val="1"/>
        </w:numPr>
      </w:pPr>
      <w:bookmarkStart w:id="27" w:name="_Toc144717597"/>
      <w:r w:rsidRPr="00646696">
        <w:t>The Data Protection Principles</w:t>
      </w:r>
      <w:bookmarkEnd w:id="27"/>
    </w:p>
    <w:p w14:paraId="4C108310" w14:textId="54B9A908" w:rsidR="0052596F" w:rsidRDefault="0052596F">
      <w:r>
        <w:t xml:space="preserve">Data Protection laws have six key </w:t>
      </w:r>
      <w:r w:rsidR="00DB1DA8">
        <w:t>p</w:t>
      </w:r>
      <w:r>
        <w:t xml:space="preserve">rinciples </w:t>
      </w:r>
      <w:r w:rsidR="00DB1DA8">
        <w:t xml:space="preserve">which must be </w:t>
      </w:r>
      <w:r w:rsidR="00A80BAB">
        <w:t>complied with</w:t>
      </w:r>
      <w:r w:rsidR="00DB1DA8">
        <w:t xml:space="preserve"> when</w:t>
      </w:r>
      <w:r>
        <w:t xml:space="preserve"> process</w:t>
      </w:r>
      <w:r w:rsidR="00DB1DA8">
        <w:t>ing</w:t>
      </w:r>
      <w:r>
        <w:t xml:space="preserve"> personal data</w:t>
      </w:r>
      <w:r w:rsidR="008E6DF2">
        <w:t xml:space="preserve">. </w:t>
      </w:r>
      <w:r>
        <w:t xml:space="preserve"> There is also an overarching </w:t>
      </w:r>
      <w:r w:rsidR="00DB1DA8">
        <w:t>p</w:t>
      </w:r>
      <w:r>
        <w:t xml:space="preserve">rinciple: </w:t>
      </w:r>
      <w:r w:rsidR="00DB1DA8">
        <w:t>‘</w:t>
      </w:r>
      <w:r>
        <w:t>Accountability</w:t>
      </w:r>
      <w:r w:rsidR="00DB1DA8">
        <w:t>’</w:t>
      </w:r>
      <w:r>
        <w:t>. The principles are as follows:</w:t>
      </w:r>
    </w:p>
    <w:p w14:paraId="3080E065" w14:textId="77777777" w:rsidR="0052596F" w:rsidRDefault="008E6DF2" w:rsidP="0052596F">
      <w:pPr>
        <w:pStyle w:val="ListParagraph"/>
        <w:numPr>
          <w:ilvl w:val="1"/>
          <w:numId w:val="1"/>
        </w:numPr>
      </w:pPr>
      <w:r>
        <w:t xml:space="preserve">Lawfulness, fairness and transparency </w:t>
      </w:r>
    </w:p>
    <w:p w14:paraId="5B2D4587" w14:textId="77777777" w:rsidR="0052596F" w:rsidRDefault="008E6DF2" w:rsidP="0052596F">
      <w:pPr>
        <w:pStyle w:val="ListParagraph"/>
        <w:numPr>
          <w:ilvl w:val="1"/>
          <w:numId w:val="1"/>
        </w:numPr>
      </w:pPr>
      <w:r>
        <w:t xml:space="preserve">Purpose limitation </w:t>
      </w:r>
    </w:p>
    <w:p w14:paraId="72D126C7" w14:textId="77777777" w:rsidR="0052596F" w:rsidRDefault="008E6DF2" w:rsidP="0052596F">
      <w:pPr>
        <w:pStyle w:val="ListParagraph"/>
        <w:numPr>
          <w:ilvl w:val="1"/>
          <w:numId w:val="1"/>
        </w:numPr>
      </w:pPr>
      <w:r>
        <w:t xml:space="preserve">Data minimisation </w:t>
      </w:r>
    </w:p>
    <w:p w14:paraId="5CC99F38" w14:textId="77777777" w:rsidR="0052596F" w:rsidRDefault="008E6DF2" w:rsidP="0052596F">
      <w:pPr>
        <w:pStyle w:val="ListParagraph"/>
        <w:numPr>
          <w:ilvl w:val="1"/>
          <w:numId w:val="1"/>
        </w:numPr>
      </w:pPr>
      <w:r>
        <w:t xml:space="preserve">Accuracy </w:t>
      </w:r>
    </w:p>
    <w:p w14:paraId="3DEE1C28" w14:textId="77777777" w:rsidR="0052596F" w:rsidRDefault="008E6DF2" w:rsidP="0052596F">
      <w:pPr>
        <w:pStyle w:val="ListParagraph"/>
        <w:numPr>
          <w:ilvl w:val="1"/>
          <w:numId w:val="1"/>
        </w:numPr>
      </w:pPr>
      <w:r>
        <w:t xml:space="preserve">Storage limitation </w:t>
      </w:r>
    </w:p>
    <w:p w14:paraId="72BB0B30" w14:textId="77777777" w:rsidR="0052596F" w:rsidRDefault="008E6DF2" w:rsidP="0052596F">
      <w:pPr>
        <w:pStyle w:val="ListParagraph"/>
        <w:numPr>
          <w:ilvl w:val="1"/>
          <w:numId w:val="1"/>
        </w:numPr>
      </w:pPr>
      <w:r>
        <w:t xml:space="preserve">Integrity and confidentiality </w:t>
      </w:r>
      <w:r w:rsidR="0052596F">
        <w:t>and</w:t>
      </w:r>
    </w:p>
    <w:p w14:paraId="0CA9166B" w14:textId="77777777" w:rsidR="0052596F" w:rsidRDefault="008E6DF2" w:rsidP="0052596F">
      <w:pPr>
        <w:pStyle w:val="ListParagraph"/>
        <w:numPr>
          <w:ilvl w:val="1"/>
          <w:numId w:val="1"/>
        </w:numPr>
      </w:pPr>
      <w:r>
        <w:lastRenderedPageBreak/>
        <w:t xml:space="preserve">Accountability </w:t>
      </w:r>
    </w:p>
    <w:p w14:paraId="4DCDC297" w14:textId="77777777" w:rsidR="0052596F" w:rsidRDefault="0052596F" w:rsidP="0052596F">
      <w:pPr>
        <w:pStyle w:val="ListParagraph"/>
        <w:ind w:left="1080"/>
      </w:pPr>
    </w:p>
    <w:p w14:paraId="201FDC2E" w14:textId="77777777" w:rsidR="00DB1DA8" w:rsidRDefault="008E6DF2" w:rsidP="00A80BAB">
      <w:pPr>
        <w:pStyle w:val="ListParagraph"/>
        <w:ind w:left="0"/>
      </w:pPr>
      <w:bookmarkStart w:id="28" w:name="_Toc144717598"/>
      <w:r w:rsidRPr="0052596F">
        <w:rPr>
          <w:rStyle w:val="Heading2Char"/>
        </w:rPr>
        <w:t>Principle 1 - Lawfulness, fairness and transparency</w:t>
      </w:r>
      <w:bookmarkEnd w:id="28"/>
      <w:r>
        <w:t xml:space="preserve"> </w:t>
      </w:r>
    </w:p>
    <w:p w14:paraId="69AEEBC7" w14:textId="189BD5E6" w:rsidR="00A7726E" w:rsidRDefault="008E6DF2" w:rsidP="00A80BAB">
      <w:pPr>
        <w:pStyle w:val="ListParagraph"/>
        <w:ind w:left="0"/>
      </w:pPr>
      <w:r>
        <w:t xml:space="preserve">Personal data must be processed lawfully, fairly and in a transparent manner. People have a right to be informed about how their personal data is being used, and you must be clear and transparent about how and why you are using personal information. </w:t>
      </w:r>
      <w:r w:rsidR="00E765DD">
        <w:t>More guidance on meeting the fairness and transparency part of this principle is detailed under Data Subject Rights – the Right to be Informed.</w:t>
      </w:r>
    </w:p>
    <w:p w14:paraId="769811B9" w14:textId="77777777" w:rsidR="00A7726E" w:rsidRDefault="00A7726E" w:rsidP="00A80BAB">
      <w:pPr>
        <w:pStyle w:val="ListParagraph"/>
        <w:ind w:left="0"/>
      </w:pPr>
    </w:p>
    <w:p w14:paraId="4B65ED75" w14:textId="1DCDF400" w:rsidR="00A80BAB" w:rsidRDefault="008E6DF2" w:rsidP="00A80BAB">
      <w:pPr>
        <w:pStyle w:val="ListParagraph"/>
        <w:ind w:left="0"/>
      </w:pPr>
      <w:r>
        <w:t>For data processing to be lawful, you must be able to rely on at least one of the following “l</w:t>
      </w:r>
      <w:r w:rsidR="00834E34">
        <w:t xml:space="preserve">awful </w:t>
      </w:r>
      <w:r>
        <w:t>bas</w:t>
      </w:r>
      <w:r w:rsidR="00DB1DA8">
        <w:t>e</w:t>
      </w:r>
      <w:r>
        <w:t xml:space="preserve">s” for processing, those highlighted being the </w:t>
      </w:r>
      <w:r w:rsidR="00834E34">
        <w:t>lawful</w:t>
      </w:r>
      <w:r>
        <w:t xml:space="preserve"> bas</w:t>
      </w:r>
      <w:r w:rsidR="00DB1DA8">
        <w:t>e</w:t>
      </w:r>
      <w:r>
        <w:t>s most likely to be relevant for</w:t>
      </w:r>
      <w:r w:rsidR="00DB1DA8">
        <w:t xml:space="preserve"> congregations</w:t>
      </w:r>
      <w:r w:rsidR="00834E34">
        <w:t>.</w:t>
      </w:r>
      <w:r w:rsidR="00DB1DA8">
        <w:t xml:space="preserve"> </w:t>
      </w:r>
    </w:p>
    <w:p w14:paraId="01166CAF" w14:textId="77777777" w:rsidR="00A80BAB" w:rsidRDefault="00A80BAB" w:rsidP="00A80BAB">
      <w:pPr>
        <w:pStyle w:val="ListParagraph"/>
        <w:ind w:left="0"/>
      </w:pPr>
    </w:p>
    <w:p w14:paraId="571F54D9" w14:textId="3057CDCB" w:rsidR="00A7726E" w:rsidRDefault="00A7726E" w:rsidP="00A80BAB">
      <w:pPr>
        <w:pStyle w:val="ListParagraph"/>
        <w:ind w:left="0"/>
        <w:rPr>
          <w:i/>
        </w:rPr>
      </w:pPr>
      <w:r w:rsidRPr="00A7726E">
        <w:rPr>
          <w:i/>
        </w:rPr>
        <w:t>(</w:t>
      </w:r>
      <w:r w:rsidRPr="005F2275">
        <w:rPr>
          <w:i/>
          <w:u w:val="single"/>
        </w:rPr>
        <w:t>Note</w:t>
      </w:r>
      <w:r w:rsidRPr="00A7726E">
        <w:rPr>
          <w:i/>
        </w:rPr>
        <w:t>: This is the starting point for processing personal data – for special category data additional rules apply, as referred to above):</w:t>
      </w:r>
    </w:p>
    <w:p w14:paraId="337EB465" w14:textId="77777777" w:rsidR="00DB1DA8" w:rsidRDefault="00DB1DA8" w:rsidP="00A80BAB">
      <w:pPr>
        <w:pStyle w:val="ListParagraph"/>
        <w:ind w:left="0"/>
        <w:rPr>
          <w:i/>
        </w:rPr>
      </w:pPr>
    </w:p>
    <w:p w14:paraId="6806EFB5" w14:textId="3814DD3F" w:rsidR="00834E34" w:rsidRDefault="00834E34" w:rsidP="00A80BAB">
      <w:pPr>
        <w:pStyle w:val="ListParagraph"/>
        <w:ind w:left="0"/>
      </w:pPr>
      <w:r>
        <w:t>This is detailed under UK GDPR Article 6(1):</w:t>
      </w:r>
    </w:p>
    <w:p w14:paraId="137884F8" w14:textId="77777777" w:rsidR="00DB1DA8" w:rsidRPr="00834E34" w:rsidRDefault="00DB1DA8" w:rsidP="0052596F">
      <w:pPr>
        <w:pStyle w:val="ListParagraph"/>
        <w:ind w:left="360"/>
      </w:pPr>
    </w:p>
    <w:p w14:paraId="6D26DBA7" w14:textId="7225BC3A" w:rsidR="00A7726E" w:rsidRDefault="008E6DF2" w:rsidP="00A80BAB">
      <w:pPr>
        <w:pStyle w:val="ListParagraph"/>
        <w:numPr>
          <w:ilvl w:val="0"/>
          <w:numId w:val="31"/>
        </w:numPr>
        <w:ind w:left="709" w:hanging="425"/>
        <w:rPr>
          <w:i/>
        </w:rPr>
      </w:pPr>
      <w:r w:rsidRPr="00834E34">
        <w:rPr>
          <w:b/>
        </w:rPr>
        <w:t>the person has given consent to the processing of their personal data for one or more specifi</w:t>
      </w:r>
      <w:r w:rsidR="00834E34">
        <w:rPr>
          <w:b/>
        </w:rPr>
        <w:t>ed</w:t>
      </w:r>
      <w:r w:rsidRPr="00834E34">
        <w:rPr>
          <w:b/>
        </w:rPr>
        <w:t xml:space="preserve"> purposes</w:t>
      </w:r>
      <w:r>
        <w:t xml:space="preserve"> </w:t>
      </w:r>
      <w:r w:rsidRPr="00834E34">
        <w:rPr>
          <w:i/>
        </w:rPr>
        <w:t xml:space="preserve">(see below for further information on the use of consent as the legal basis for processing); </w:t>
      </w:r>
    </w:p>
    <w:p w14:paraId="618EAD84" w14:textId="77777777" w:rsidR="00DB1DA8" w:rsidRPr="00834E34" w:rsidRDefault="00DB1DA8" w:rsidP="00A80BAB">
      <w:pPr>
        <w:pStyle w:val="ListParagraph"/>
        <w:ind w:left="709" w:hanging="425"/>
        <w:rPr>
          <w:i/>
        </w:rPr>
      </w:pPr>
    </w:p>
    <w:p w14:paraId="06C57AE6" w14:textId="2CB2F389" w:rsidR="00A7726E" w:rsidRDefault="008E6DF2" w:rsidP="00A80BAB">
      <w:pPr>
        <w:pStyle w:val="ListParagraph"/>
        <w:numPr>
          <w:ilvl w:val="0"/>
          <w:numId w:val="31"/>
        </w:numPr>
        <w:ind w:left="709" w:hanging="425"/>
        <w:rPr>
          <w:i/>
        </w:rPr>
      </w:pPr>
      <w:r w:rsidRPr="00834E34">
        <w:rPr>
          <w:b/>
        </w:rPr>
        <w:t>processing is necessary for the performance of a contract to which the data subject is party or in order to take steps at the request of the data subject prior to entering into a contract</w:t>
      </w:r>
      <w:r>
        <w:t xml:space="preserve"> </w:t>
      </w:r>
      <w:r w:rsidRPr="00834E34">
        <w:rPr>
          <w:i/>
        </w:rPr>
        <w:t xml:space="preserve">(such as keeping and maintaining staff/payroll records); </w:t>
      </w:r>
    </w:p>
    <w:p w14:paraId="24EC5C7B" w14:textId="77777777" w:rsidR="00DB1DA8" w:rsidRPr="00A80BAB" w:rsidRDefault="00DB1DA8" w:rsidP="00A80BAB">
      <w:pPr>
        <w:pStyle w:val="ListParagraph"/>
        <w:ind w:left="709" w:hanging="425"/>
        <w:rPr>
          <w:i/>
        </w:rPr>
      </w:pPr>
    </w:p>
    <w:p w14:paraId="61088C50" w14:textId="683588FD" w:rsidR="00A7726E" w:rsidRDefault="008E6DF2" w:rsidP="00A80BAB">
      <w:pPr>
        <w:pStyle w:val="ListParagraph"/>
        <w:numPr>
          <w:ilvl w:val="0"/>
          <w:numId w:val="31"/>
        </w:numPr>
        <w:ind w:left="709" w:hanging="425"/>
      </w:pPr>
      <w:r>
        <w:t xml:space="preserve">processing is necessary for compliance with a legal obligation to which the controller is subject; </w:t>
      </w:r>
    </w:p>
    <w:p w14:paraId="727B0ECA" w14:textId="77777777" w:rsidR="00DB1DA8" w:rsidRDefault="00DB1DA8" w:rsidP="00A80BAB">
      <w:pPr>
        <w:pStyle w:val="ListParagraph"/>
        <w:ind w:left="709" w:hanging="425"/>
      </w:pPr>
    </w:p>
    <w:p w14:paraId="1FFBD333" w14:textId="68D530EB" w:rsidR="00A7726E" w:rsidRDefault="008E6DF2" w:rsidP="00A80BAB">
      <w:pPr>
        <w:pStyle w:val="ListParagraph"/>
        <w:numPr>
          <w:ilvl w:val="0"/>
          <w:numId w:val="31"/>
        </w:numPr>
        <w:ind w:left="709" w:hanging="425"/>
      </w:pPr>
      <w:r>
        <w:t xml:space="preserve">processing is necessary in order to protect the vital interests of the data subject or another natural person (this really just relates to life and death situations); </w:t>
      </w:r>
    </w:p>
    <w:p w14:paraId="00610C3C" w14:textId="77777777" w:rsidR="00DB1DA8" w:rsidRDefault="00DB1DA8" w:rsidP="00A80BAB">
      <w:pPr>
        <w:pStyle w:val="ListParagraph"/>
        <w:ind w:left="709" w:hanging="425"/>
      </w:pPr>
    </w:p>
    <w:p w14:paraId="1AE201DA" w14:textId="55C28D7F" w:rsidR="00A7726E" w:rsidRDefault="008E6DF2" w:rsidP="00A80BAB">
      <w:pPr>
        <w:pStyle w:val="ListParagraph"/>
        <w:numPr>
          <w:ilvl w:val="0"/>
          <w:numId w:val="31"/>
        </w:numPr>
        <w:ind w:left="709" w:hanging="425"/>
      </w:pPr>
      <w:r>
        <w:t xml:space="preserve">processing is necessary for the performance of a task carried out in the public interest or in the exercise of official authority vested in the controller; </w:t>
      </w:r>
    </w:p>
    <w:p w14:paraId="4F3DF1EA" w14:textId="77777777" w:rsidR="00DB1DA8" w:rsidRDefault="00DB1DA8" w:rsidP="00A80BAB">
      <w:pPr>
        <w:pStyle w:val="ListParagraph"/>
        <w:ind w:left="709" w:hanging="425"/>
      </w:pPr>
    </w:p>
    <w:p w14:paraId="3E0E8CD7" w14:textId="77777777" w:rsidR="00DB1DA8" w:rsidRDefault="00DB1DA8" w:rsidP="00A80BAB">
      <w:pPr>
        <w:pStyle w:val="ListParagraph"/>
        <w:ind w:left="709" w:hanging="425"/>
      </w:pPr>
    </w:p>
    <w:p w14:paraId="6B6DD61E" w14:textId="23BB3115" w:rsidR="00A7726E" w:rsidRDefault="008E6DF2" w:rsidP="00A80BAB">
      <w:pPr>
        <w:pStyle w:val="ListParagraph"/>
        <w:numPr>
          <w:ilvl w:val="0"/>
          <w:numId w:val="31"/>
        </w:numPr>
        <w:ind w:left="709" w:hanging="425"/>
        <w:rPr>
          <w:b/>
        </w:rPr>
      </w:pPr>
      <w:r w:rsidRPr="00834E34">
        <w:rPr>
          <w:b/>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w:t>
      </w:r>
    </w:p>
    <w:p w14:paraId="0C5A9FD1" w14:textId="77777777" w:rsidR="00DB1DA8" w:rsidRPr="00834E34" w:rsidRDefault="00DB1DA8" w:rsidP="00A80BAB">
      <w:pPr>
        <w:pStyle w:val="ListParagraph"/>
        <w:ind w:left="1080"/>
        <w:rPr>
          <w:b/>
        </w:rPr>
      </w:pPr>
    </w:p>
    <w:p w14:paraId="22F6E667" w14:textId="58E5DE00" w:rsidR="0053470A" w:rsidRDefault="008E6DF2" w:rsidP="00A80BAB">
      <w:pPr>
        <w:pStyle w:val="ListParagraph"/>
        <w:ind w:left="0"/>
      </w:pPr>
      <w:r>
        <w:t xml:space="preserve">For most Presbytery or </w:t>
      </w:r>
      <w:r w:rsidR="00DB1DA8">
        <w:t>c</w:t>
      </w:r>
      <w:r>
        <w:t xml:space="preserve">ongregational processing, </w:t>
      </w:r>
      <w:r w:rsidR="00834E34">
        <w:t>Article 6(1)(f)</w:t>
      </w:r>
      <w:r>
        <w:t xml:space="preserve"> will often be the </w:t>
      </w:r>
      <w:r w:rsidR="00834E34">
        <w:t>lawful</w:t>
      </w:r>
      <w:r>
        <w:t xml:space="preserve"> basis on which you will want to rely. You should not rely on consent, other than as a last resort, not only because it is a laborious and thankless process to obtain consent for every single </w:t>
      </w:r>
      <w:r w:rsidR="000F5EFA">
        <w:t>purpose</w:t>
      </w:r>
      <w:r>
        <w:t xml:space="preserve"> of which you are processing, but because consent can be withdrawn</w:t>
      </w:r>
      <w:r w:rsidR="000F5EFA">
        <w:t xml:space="preserve"> at any time</w:t>
      </w:r>
      <w:r>
        <w:t xml:space="preserve">. If it is withdrawn, you are </w:t>
      </w:r>
      <w:r>
        <w:lastRenderedPageBreak/>
        <w:t xml:space="preserve">likely to have difficulty in continuing to process the </w:t>
      </w:r>
      <w:r w:rsidR="000F5EFA">
        <w:t>data</w:t>
      </w:r>
      <w:r>
        <w:t xml:space="preserve"> in question. Also, it is misleading to ask for consent if you are in fact going to process the information regardless of whether or not consent is given. </w:t>
      </w:r>
      <w:r w:rsidR="0053470A">
        <w:t>There are specific rules detailed in Article 7 for consent to be valid. If these conditions, as described above, are not met then consent would be invalid and could not be</w:t>
      </w:r>
      <w:r w:rsidR="006F4148">
        <w:t xml:space="preserve"> relied upon for</w:t>
      </w:r>
      <w:r w:rsidR="0053470A">
        <w:t xml:space="preserve"> the lawful basis</w:t>
      </w:r>
      <w:r w:rsidR="000F5EFA">
        <w:t>.</w:t>
      </w:r>
    </w:p>
    <w:p w14:paraId="74F1BD7B" w14:textId="77777777" w:rsidR="0053470A" w:rsidRDefault="0053470A" w:rsidP="0052596F">
      <w:pPr>
        <w:pStyle w:val="ListParagraph"/>
        <w:ind w:left="360"/>
      </w:pPr>
    </w:p>
    <w:p w14:paraId="78FEFD22" w14:textId="1B7AF80C" w:rsidR="000F5EFA" w:rsidRDefault="000F5EFA" w:rsidP="00A80BAB">
      <w:pPr>
        <w:pStyle w:val="ListParagraph"/>
        <w:ind w:left="0"/>
      </w:pPr>
      <w:r>
        <w:t>If relying on the legitimate interests as a lawful basis i</w:t>
      </w:r>
      <w:r w:rsidR="008E6DF2">
        <w:t xml:space="preserve">t is essential that you can </w:t>
      </w:r>
      <w:r w:rsidR="008E6DF2" w:rsidRPr="000F5EFA">
        <w:rPr>
          <w:u w:val="single"/>
        </w:rPr>
        <w:t>demonstrate</w:t>
      </w:r>
      <w:r w:rsidR="008E6DF2">
        <w:t xml:space="preserve"> that this basis of processing applies, and there is a 3-stage test for doing so. You </w:t>
      </w:r>
      <w:r w:rsidR="00DB1DA8">
        <w:t>must</w:t>
      </w:r>
      <w:r w:rsidR="00F62DBB">
        <w:t>: -</w:t>
      </w:r>
      <w:r w:rsidR="008E6DF2">
        <w:t xml:space="preserve"> </w:t>
      </w:r>
    </w:p>
    <w:p w14:paraId="607B8578" w14:textId="77777777" w:rsidR="00DB1DA8" w:rsidRDefault="00DB1DA8" w:rsidP="0052596F">
      <w:pPr>
        <w:pStyle w:val="ListParagraph"/>
        <w:ind w:left="360"/>
      </w:pPr>
    </w:p>
    <w:p w14:paraId="6941FF74" w14:textId="77777777" w:rsidR="000F5EFA" w:rsidRDefault="008E6DF2" w:rsidP="000F5EFA">
      <w:pPr>
        <w:pStyle w:val="ListParagraph"/>
        <w:numPr>
          <w:ilvl w:val="0"/>
          <w:numId w:val="11"/>
        </w:numPr>
      </w:pPr>
      <w:r>
        <w:t xml:space="preserve">identify a legitimate interest </w:t>
      </w:r>
    </w:p>
    <w:p w14:paraId="23F1F9F5" w14:textId="77777777" w:rsidR="000F5EFA" w:rsidRDefault="008E6DF2" w:rsidP="000F5EFA">
      <w:pPr>
        <w:pStyle w:val="ListParagraph"/>
        <w:numPr>
          <w:ilvl w:val="0"/>
          <w:numId w:val="11"/>
        </w:numPr>
      </w:pPr>
      <w:r>
        <w:t>establish that your processing is in fact “necessary”</w:t>
      </w:r>
    </w:p>
    <w:p w14:paraId="150EE64D" w14:textId="77777777" w:rsidR="000F5EFA" w:rsidRDefault="008E6DF2" w:rsidP="000F5EFA">
      <w:pPr>
        <w:pStyle w:val="ListParagraph"/>
        <w:numPr>
          <w:ilvl w:val="0"/>
          <w:numId w:val="11"/>
        </w:numPr>
      </w:pPr>
      <w:r>
        <w:t>conduct a balancing test</w:t>
      </w:r>
    </w:p>
    <w:p w14:paraId="77A5D795" w14:textId="77777777" w:rsidR="000F5EFA" w:rsidRDefault="000F5EFA" w:rsidP="0052596F">
      <w:pPr>
        <w:pStyle w:val="ListParagraph"/>
        <w:ind w:left="360"/>
      </w:pPr>
    </w:p>
    <w:p w14:paraId="304C7780" w14:textId="77777777" w:rsidR="000F5EFA" w:rsidRDefault="008E6DF2" w:rsidP="00A80BAB">
      <w:pPr>
        <w:pStyle w:val="ListParagraph"/>
        <w:ind w:left="0"/>
      </w:pPr>
      <w:r>
        <w:t>The legitimate interests can be your own interests or the interests of third parties. They can include commercial interests, individual interests or broader societal benefits. The processing must be necessary: if you can reasonably achieve the same result in another less intrusive way</w:t>
      </w:r>
      <w:r w:rsidR="000F5EFA">
        <w:t xml:space="preserve"> then the </w:t>
      </w:r>
      <w:r>
        <w:t xml:space="preserve">legitimate interests </w:t>
      </w:r>
      <w:r w:rsidR="000F5EFA">
        <w:t xml:space="preserve">lawful basis </w:t>
      </w:r>
      <w:r>
        <w:t xml:space="preserve">will not apply. You must balance your interests against the </w:t>
      </w:r>
      <w:r w:rsidR="000F5EFA">
        <w:t xml:space="preserve">rights and freedoms of </w:t>
      </w:r>
      <w:r>
        <w:t xml:space="preserve">individuals. If they would not reasonably expect the processing, or if it would cause unjustified harm, their interests are likely to override your legitimate interests. On the other hand, the fact that individuals have a reasonable expectation that you will process their personal data makes it likely that processing on this basis will be lawful. </w:t>
      </w:r>
    </w:p>
    <w:p w14:paraId="00913375" w14:textId="77777777" w:rsidR="000F5EFA" w:rsidRDefault="000F5EFA" w:rsidP="00A80BAB">
      <w:pPr>
        <w:pStyle w:val="ListParagraph"/>
        <w:ind w:left="0"/>
      </w:pPr>
    </w:p>
    <w:p w14:paraId="5D6FCDB1" w14:textId="7FCD783C" w:rsidR="000F5EFA" w:rsidRDefault="008E6DF2" w:rsidP="00A80BAB">
      <w:pPr>
        <w:pStyle w:val="ListParagraph"/>
        <w:ind w:left="0"/>
      </w:pPr>
      <w:r>
        <w:t xml:space="preserve">You must record which basis of processing you are choosing for your different processing activities, and your reasons for doing so. This is best done by means of a Legitimate Interests Assessment (LIA), which documents your decision-making process and will help you to demonstrate compliance with the law. </w:t>
      </w:r>
      <w:hyperlink r:id="rId11" w:history="1">
        <w:proofErr w:type="gramStart"/>
        <w:r w:rsidRPr="00B82DD4">
          <w:rPr>
            <w:rStyle w:val="Hyperlink"/>
          </w:rPr>
          <w:t>A</w:t>
        </w:r>
        <w:r w:rsidR="000F5EFA" w:rsidRPr="00B82DD4">
          <w:rPr>
            <w:rStyle w:val="Hyperlink"/>
          </w:rPr>
          <w:t>n</w:t>
        </w:r>
        <w:proofErr w:type="gramEnd"/>
        <w:r w:rsidRPr="00B82DD4">
          <w:rPr>
            <w:rStyle w:val="Hyperlink"/>
          </w:rPr>
          <w:t xml:space="preserve"> LIA</w:t>
        </w:r>
        <w:r w:rsidR="000F5EFA" w:rsidRPr="00B82DD4">
          <w:rPr>
            <w:rStyle w:val="Hyperlink"/>
          </w:rPr>
          <w:t xml:space="preserve"> </w:t>
        </w:r>
        <w:r w:rsidR="000F5EFA" w:rsidRPr="00B82DD4">
          <w:rPr>
            <w:rStyle w:val="Hyperlink"/>
          </w:rPr>
          <w:t>t</w:t>
        </w:r>
        <w:r w:rsidR="000F5EFA" w:rsidRPr="00B82DD4">
          <w:rPr>
            <w:rStyle w:val="Hyperlink"/>
          </w:rPr>
          <w:t>e</w:t>
        </w:r>
        <w:r w:rsidR="000F5EFA" w:rsidRPr="00B82DD4">
          <w:rPr>
            <w:rStyle w:val="Hyperlink"/>
          </w:rPr>
          <w:t>mplate</w:t>
        </w:r>
      </w:hyperlink>
      <w:r w:rsidR="000F5EFA">
        <w:t xml:space="preserve"> and guidance note has been</w:t>
      </w:r>
      <w:r>
        <w:t xml:space="preserve"> produced by the Law Department and </w:t>
      </w:r>
      <w:r w:rsidR="000F5EFA">
        <w:t>is available</w:t>
      </w:r>
      <w:r>
        <w:t xml:space="preserve"> on the website. You must include details of your legitimate interests in your privacy notice. </w:t>
      </w:r>
    </w:p>
    <w:p w14:paraId="2532F65D" w14:textId="77777777" w:rsidR="000F5EFA" w:rsidRDefault="000F5EFA" w:rsidP="00A80BAB">
      <w:pPr>
        <w:pStyle w:val="ListParagraph"/>
        <w:ind w:left="0"/>
      </w:pPr>
    </w:p>
    <w:p w14:paraId="2F2224C7" w14:textId="77777777" w:rsidR="000F5EFA" w:rsidRPr="000F5EFA" w:rsidRDefault="008E6DF2" w:rsidP="00A80BAB">
      <w:pPr>
        <w:pStyle w:val="ListParagraph"/>
        <w:ind w:left="0"/>
        <w:rPr>
          <w:u w:val="single"/>
        </w:rPr>
      </w:pPr>
      <w:r w:rsidRPr="000F5EFA">
        <w:rPr>
          <w:u w:val="single"/>
        </w:rPr>
        <w:t xml:space="preserve">Consent as a legal basis for processing personal information </w:t>
      </w:r>
    </w:p>
    <w:p w14:paraId="4BE9BBB6" w14:textId="227262CA" w:rsidR="00855E31" w:rsidRDefault="008E6DF2" w:rsidP="00A80BAB">
      <w:pPr>
        <w:pStyle w:val="ListParagraph"/>
        <w:ind w:left="0"/>
      </w:pPr>
      <w:r>
        <w:t xml:space="preserve">Some detailed information is necessary on the use of consent as a legal basis for processing personal data. It is crucial for congregations to be clear as to which of the above listed legal bases for processing apply to their processing of personal information, so as to ensure compliance with the law. In particular, under the </w:t>
      </w:r>
      <w:r w:rsidR="00613D60">
        <w:t xml:space="preserve">UK </w:t>
      </w:r>
      <w:r>
        <w:t>GDPR the legal basis of “consent” gives individuals much more control over their data and its uses than they ha</w:t>
      </w:r>
      <w:r w:rsidR="00DB1DA8">
        <w:t>d</w:t>
      </w:r>
      <w:r>
        <w:t xml:space="preserve"> under the </w:t>
      </w:r>
      <w:r w:rsidR="00855E31">
        <w:t xml:space="preserve">previous </w:t>
      </w:r>
      <w:r w:rsidR="00DB1DA8">
        <w:t>legislation</w:t>
      </w:r>
      <w:r>
        <w:t xml:space="preserve">. </w:t>
      </w:r>
    </w:p>
    <w:p w14:paraId="60D311A7" w14:textId="77777777" w:rsidR="00855E31" w:rsidRDefault="00855E31" w:rsidP="0052596F">
      <w:pPr>
        <w:pStyle w:val="ListParagraph"/>
        <w:ind w:left="360"/>
      </w:pPr>
    </w:p>
    <w:p w14:paraId="1C591A06" w14:textId="4A3A25F5" w:rsidR="00E2369B" w:rsidRPr="00AD033D" w:rsidRDefault="00CD7264" w:rsidP="00A80BAB">
      <w:pPr>
        <w:pStyle w:val="ListParagraph"/>
        <w:ind w:left="0"/>
      </w:pPr>
      <w:r>
        <w:t xml:space="preserve">In the previous law, consent was seen as </w:t>
      </w:r>
      <w:r w:rsidR="00AD033D">
        <w:t xml:space="preserve">the </w:t>
      </w:r>
      <w:r w:rsidR="005548F1">
        <w:t xml:space="preserve">first choice for </w:t>
      </w:r>
      <w:r>
        <w:t>the lawful</w:t>
      </w:r>
      <w:r w:rsidR="00AD033D">
        <w:t xml:space="preserve"> basis of processing personal data. Now, however, the high standard for consent to be valid means that in general consent would not be the correct condition to use. For </w:t>
      </w:r>
      <w:r w:rsidR="00DB1DA8">
        <w:t>c</w:t>
      </w:r>
      <w:r w:rsidR="00AD033D">
        <w:t>ongregations the more appropriate lawful basis of “legitimate interests”</w:t>
      </w:r>
      <w:r w:rsidR="00DB1DA8">
        <w:t xml:space="preserve"> is likely to apply</w:t>
      </w:r>
      <w:r w:rsidR="00AD033D">
        <w:t>. There will be situations</w:t>
      </w:r>
      <w:r w:rsidR="00AD033D" w:rsidRPr="00AD033D">
        <w:t xml:space="preserve"> </w:t>
      </w:r>
      <w:r w:rsidR="00AD033D">
        <w:t xml:space="preserve">where consent is the appropriate legal basis for processing personal information, </w:t>
      </w:r>
      <w:r w:rsidR="00FF5F28">
        <w:t>for example</w:t>
      </w:r>
      <w:r w:rsidR="00AD033D">
        <w:t xml:space="preserve"> when a congregation wants to include personal information in a congregational directory for circulation; or to include personal information on a website (see under “</w:t>
      </w:r>
      <w:r w:rsidR="00AD033D" w:rsidRPr="009F1E38">
        <w:rPr>
          <w:i/>
        </w:rPr>
        <w:t>Special category data”</w:t>
      </w:r>
      <w:r w:rsidR="00AD033D">
        <w:t xml:space="preserve"> above). In such situations it will be vital to ensure that correct procedures are followed</w:t>
      </w:r>
      <w:r w:rsidR="00FF5F28">
        <w:t xml:space="preserve"> and records of consent are held</w:t>
      </w:r>
      <w:r w:rsidR="00AD033D">
        <w:t>.</w:t>
      </w:r>
    </w:p>
    <w:p w14:paraId="2148104E" w14:textId="77777777" w:rsidR="007C10E9" w:rsidRDefault="007C10E9" w:rsidP="0052596F">
      <w:pPr>
        <w:pStyle w:val="ListParagraph"/>
        <w:ind w:left="360"/>
      </w:pPr>
    </w:p>
    <w:p w14:paraId="64A635AF" w14:textId="77777777" w:rsidR="00FF5F28" w:rsidRDefault="008E6DF2" w:rsidP="00A80BAB">
      <w:pPr>
        <w:pStyle w:val="ListParagraph"/>
        <w:ind w:left="0"/>
      </w:pPr>
      <w:r>
        <w:lastRenderedPageBreak/>
        <w:t xml:space="preserve">Consent of an individual means any </w:t>
      </w:r>
      <w:r w:rsidRPr="006034AA">
        <w:rPr>
          <w:u w:val="single"/>
        </w:rPr>
        <w:t>freely given</w:t>
      </w:r>
      <w:r>
        <w:t xml:space="preserve">, </w:t>
      </w:r>
      <w:r w:rsidRPr="006034AA">
        <w:rPr>
          <w:u w:val="single"/>
        </w:rPr>
        <w:t>specific</w:t>
      </w:r>
      <w:r>
        <w:t xml:space="preserve"> (this may often lead to more than one consent being required from the same individual for different uses</w:t>
      </w:r>
      <w:r w:rsidR="006034AA">
        <w:t xml:space="preserve"> (purposes)</w:t>
      </w:r>
      <w:r>
        <w:t xml:space="preserve"> of their data), </w:t>
      </w:r>
      <w:r w:rsidRPr="006034AA">
        <w:rPr>
          <w:u w:val="single"/>
        </w:rPr>
        <w:t>informed</w:t>
      </w:r>
      <w:r>
        <w:t xml:space="preserve"> and </w:t>
      </w:r>
      <w:r w:rsidRPr="006034AA">
        <w:rPr>
          <w:u w:val="single"/>
        </w:rPr>
        <w:t>unambiguous indication</w:t>
      </w:r>
      <w:r>
        <w:t xml:space="preserve"> of the person’s wishes by which he or she, by a statement or by a clear affirmative action, signifies agreement to the processing of personal data relating to him or her. Pre-ticked boxes do not demonstrate “clear affirmative action”, and nor does any other method of default consent. </w:t>
      </w:r>
    </w:p>
    <w:p w14:paraId="57666100" w14:textId="77777777" w:rsidR="006034AA" w:rsidRDefault="006034AA" w:rsidP="00A80BAB">
      <w:pPr>
        <w:pStyle w:val="ListParagraph"/>
        <w:ind w:left="0"/>
      </w:pPr>
    </w:p>
    <w:p w14:paraId="0DA42275" w14:textId="03E1D287" w:rsidR="00E765DD" w:rsidRDefault="00D92760" w:rsidP="00A80BAB">
      <w:pPr>
        <w:pStyle w:val="ListParagraph"/>
        <w:ind w:left="0"/>
      </w:pPr>
      <w:r>
        <w:t>A</w:t>
      </w:r>
      <w:r w:rsidR="006034AA">
        <w:t xml:space="preserve"> number of conditions must be met for consent to be valid. These conditions include </w:t>
      </w:r>
      <w:r w:rsidR="0008683F">
        <w:t xml:space="preserve">that </w:t>
      </w:r>
      <w:r w:rsidR="006034AA">
        <w:t>c</w:t>
      </w:r>
      <w:r w:rsidR="008E6DF2">
        <w:t xml:space="preserve">onsent must be easily withdrawn (so individuals must be informed at the time of giving consent as to how they can withdraw it, and the procedure for withdrawing consent must be as simple as that for granting </w:t>
      </w:r>
      <w:r w:rsidR="0008683F">
        <w:t>consent</w:t>
      </w:r>
      <w:r w:rsidR="008E6DF2">
        <w:t xml:space="preserve"> in the first place); it must be clearly distinguishable; and the congregation must be able to prove compliance.</w:t>
      </w:r>
      <w:r w:rsidR="0008683F">
        <w:t xml:space="preserve"> This means that the congregation</w:t>
      </w:r>
      <w:r w:rsidR="008E6DF2">
        <w:t xml:space="preserve"> </w:t>
      </w:r>
      <w:r w:rsidR="00E765DD">
        <w:t>should keep the signed consent forms a</w:t>
      </w:r>
      <w:r w:rsidR="0008683F">
        <w:t xml:space="preserve">s a record </w:t>
      </w:r>
      <w:r w:rsidR="00E765DD">
        <w:t>to evidence that consent has been properly given. I</w:t>
      </w:r>
      <w:r w:rsidR="0008683F">
        <w:t xml:space="preserve">f an individual does withdraw consent, then this record should be updated to ensure that the processing activity is no longer carried out with that individual’s data. </w:t>
      </w:r>
      <w:r w:rsidR="008E6DF2">
        <w:t xml:space="preserve">It is important to be particularly careful about compliance if a congregation is relying on consent </w:t>
      </w:r>
      <w:r w:rsidR="008E6DF2" w:rsidRPr="00E765DD">
        <w:rPr>
          <w:i/>
        </w:rPr>
        <w:t>alone</w:t>
      </w:r>
      <w:r w:rsidR="008E6DF2">
        <w:t xml:space="preserve"> as the legal basis for processing (it is an option to get the consent of the individual </w:t>
      </w:r>
      <w:r w:rsidR="008E6DF2" w:rsidRPr="00E765DD">
        <w:rPr>
          <w:i/>
        </w:rPr>
        <w:t>in addition</w:t>
      </w:r>
      <w:r w:rsidR="008E6DF2">
        <w:t xml:space="preserve"> to another legal basis for processing personal information). If the data subject is a child, consent should be obtained in addition to relying on legitimate interests. </w:t>
      </w:r>
    </w:p>
    <w:p w14:paraId="6CCA93BB" w14:textId="77777777" w:rsidR="00E765DD" w:rsidRDefault="00E765DD" w:rsidP="00A80BAB">
      <w:pPr>
        <w:pStyle w:val="ListParagraph"/>
        <w:ind w:left="0"/>
      </w:pPr>
    </w:p>
    <w:p w14:paraId="329253BD" w14:textId="7D9EFAEB" w:rsidR="00E765DD" w:rsidRDefault="008E6DF2" w:rsidP="00A80BAB">
      <w:pPr>
        <w:pStyle w:val="ListParagraph"/>
        <w:ind w:left="0"/>
      </w:pPr>
      <w:r>
        <w:t xml:space="preserve">A sample consent form is available: </w:t>
      </w:r>
      <w:hyperlink r:id="rId12" w:history="1">
        <w:r w:rsidR="00E765DD" w:rsidRPr="00937340">
          <w:rPr>
            <w:rStyle w:val="Hyperlink"/>
          </w:rPr>
          <w:t>Data Protection</w:t>
        </w:r>
        <w:r w:rsidRPr="00937340">
          <w:rPr>
            <w:rStyle w:val="Hyperlink"/>
          </w:rPr>
          <w:t xml:space="preserve"> Consent </w:t>
        </w:r>
        <w:r w:rsidR="00937340" w:rsidRPr="00937340">
          <w:rPr>
            <w:rStyle w:val="Hyperlink"/>
          </w:rPr>
          <w:t>Form</w:t>
        </w:r>
      </w:hyperlink>
      <w:r w:rsidR="00937340">
        <w:t xml:space="preserve"> along with </w:t>
      </w:r>
      <w:hyperlink r:id="rId13" w:history="1">
        <w:r w:rsidR="00937340" w:rsidRPr="0072764B">
          <w:rPr>
            <w:rStyle w:val="Hyperlink"/>
          </w:rPr>
          <w:t>guidance on consent</w:t>
        </w:r>
      </w:hyperlink>
      <w:r w:rsidR="0072764B">
        <w:t>.</w:t>
      </w:r>
    </w:p>
    <w:p w14:paraId="32A3353B" w14:textId="77777777" w:rsidR="00E765DD" w:rsidRDefault="00E765DD" w:rsidP="0052596F">
      <w:pPr>
        <w:pStyle w:val="ListParagraph"/>
        <w:ind w:left="360"/>
      </w:pPr>
    </w:p>
    <w:p w14:paraId="3A3DDB6C" w14:textId="77777777" w:rsidR="0052596F" w:rsidRDefault="008E6DF2" w:rsidP="00A80BAB">
      <w:pPr>
        <w:pStyle w:val="ListParagraph"/>
        <w:ind w:left="0"/>
      </w:pPr>
      <w:r>
        <w:t>Consent can be given orally rather than in writing and in such circumstances you should record in writing that consent has been given in this way.</w:t>
      </w:r>
      <w:r w:rsidR="00E765DD">
        <w:t xml:space="preserve"> When relying on consent, keeping the record of that consent is important to evidence compliance. </w:t>
      </w:r>
      <w:r>
        <w:t>The ICO has provided useful checklists (</w:t>
      </w:r>
      <w:hyperlink r:id="rId14" w:history="1">
        <w:r w:rsidR="00E765DD">
          <w:rPr>
            <w:rStyle w:val="Hyperlink"/>
          </w:rPr>
          <w:t>Consent | ICO</w:t>
        </w:r>
      </w:hyperlink>
      <w:r>
        <w:t xml:space="preserve">) for asking for consent, recording consent and managing consent. </w:t>
      </w:r>
    </w:p>
    <w:p w14:paraId="7217808B" w14:textId="77777777" w:rsidR="00FF5F28" w:rsidRDefault="00FF5F28" w:rsidP="0052596F">
      <w:pPr>
        <w:pStyle w:val="ListParagraph"/>
        <w:ind w:left="360"/>
      </w:pPr>
    </w:p>
    <w:p w14:paraId="0AAB4B30" w14:textId="77777777" w:rsidR="00E765DD" w:rsidRDefault="008E6DF2" w:rsidP="00A80BAB">
      <w:pPr>
        <w:pStyle w:val="ListParagraph"/>
        <w:ind w:left="0"/>
      </w:pPr>
      <w:bookmarkStart w:id="29" w:name="_Toc144717599"/>
      <w:r w:rsidRPr="0052596F">
        <w:rPr>
          <w:rStyle w:val="Heading2Char"/>
        </w:rPr>
        <w:t>Principle 2 - Purpose limitation</w:t>
      </w:r>
      <w:bookmarkEnd w:id="29"/>
      <w:r>
        <w:t xml:space="preserve"> </w:t>
      </w:r>
    </w:p>
    <w:p w14:paraId="765EF158" w14:textId="409BA808" w:rsidR="00E765DD" w:rsidRDefault="008E6DF2" w:rsidP="00A80BAB">
      <w:pPr>
        <w:pStyle w:val="ListParagraph"/>
        <w:ind w:left="0"/>
      </w:pPr>
      <w:r>
        <w:t xml:space="preserve">Personal data must be collected for specified, explicit and legitimate purposes and not further processed in a way incompatible with those purposes. </w:t>
      </w:r>
      <w:r w:rsidR="00D92760">
        <w:t xml:space="preserve"> </w:t>
      </w:r>
      <w:r>
        <w:t xml:space="preserve">It is therefore important </w:t>
      </w:r>
      <w:r w:rsidR="00132C8A">
        <w:t>to</w:t>
      </w:r>
    </w:p>
    <w:p w14:paraId="335DA1F9" w14:textId="77777777" w:rsidR="00E765DD" w:rsidRDefault="008E6DF2" w:rsidP="00A80BAB">
      <w:pPr>
        <w:pStyle w:val="ListParagraph"/>
        <w:numPr>
          <w:ilvl w:val="0"/>
          <w:numId w:val="12"/>
        </w:numPr>
        <w:ind w:left="720"/>
      </w:pPr>
      <w:r>
        <w:t>be clear about the reasons why you are collecting personal information from individuals</w:t>
      </w:r>
    </w:p>
    <w:p w14:paraId="2A1BA19A" w14:textId="77777777" w:rsidR="00862B00" w:rsidRDefault="008E6DF2" w:rsidP="00A80BAB">
      <w:pPr>
        <w:pStyle w:val="ListParagraph"/>
        <w:numPr>
          <w:ilvl w:val="0"/>
          <w:numId w:val="12"/>
        </w:numPr>
        <w:ind w:left="720"/>
      </w:pPr>
      <w:r>
        <w:t xml:space="preserve">ensure that the information is only used for that purpose. </w:t>
      </w:r>
    </w:p>
    <w:p w14:paraId="01136A1D" w14:textId="77777777" w:rsidR="00862B00" w:rsidRDefault="00862B00" w:rsidP="0052596F">
      <w:pPr>
        <w:pStyle w:val="ListParagraph"/>
        <w:ind w:left="360"/>
        <w:rPr>
          <w:rStyle w:val="Heading2Char"/>
        </w:rPr>
      </w:pPr>
    </w:p>
    <w:p w14:paraId="60DA93DB" w14:textId="77777777" w:rsidR="00E765DD" w:rsidRDefault="008E6DF2" w:rsidP="00330433">
      <w:pPr>
        <w:pStyle w:val="ListParagraph"/>
        <w:ind w:left="0"/>
      </w:pPr>
      <w:bookmarkStart w:id="30" w:name="_Toc144717600"/>
      <w:r w:rsidRPr="00862B00">
        <w:rPr>
          <w:rStyle w:val="Heading2Char"/>
        </w:rPr>
        <w:t>Principle 3 – Data minimisation</w:t>
      </w:r>
      <w:bookmarkEnd w:id="30"/>
      <w:r>
        <w:t xml:space="preserve"> </w:t>
      </w:r>
    </w:p>
    <w:p w14:paraId="58F7932A" w14:textId="77777777" w:rsidR="0052596F" w:rsidRDefault="008E6DF2" w:rsidP="00330433">
      <w:pPr>
        <w:pStyle w:val="ListParagraph"/>
        <w:ind w:left="0"/>
      </w:pPr>
      <w:r>
        <w:t xml:space="preserve">Personal data must be adequate, relevant and limited to what is necessary in relation to the purposes for which they are processed. You should not be </w:t>
      </w:r>
      <w:r w:rsidR="00132C8A">
        <w:t>collecting personal data excessively or in case it is considered it may be useful for another reason only collect what is necessary for the purpose.</w:t>
      </w:r>
    </w:p>
    <w:p w14:paraId="18DC5C34" w14:textId="77777777" w:rsidR="005A5E95" w:rsidRDefault="005A5E95" w:rsidP="0052596F">
      <w:pPr>
        <w:pStyle w:val="ListParagraph"/>
        <w:ind w:left="360"/>
        <w:rPr>
          <w:rStyle w:val="Heading2Char"/>
        </w:rPr>
      </w:pPr>
    </w:p>
    <w:p w14:paraId="58C9F382" w14:textId="77777777" w:rsidR="00132C8A" w:rsidRDefault="008E6DF2" w:rsidP="00330433">
      <w:pPr>
        <w:pStyle w:val="ListParagraph"/>
        <w:ind w:left="0"/>
      </w:pPr>
      <w:bookmarkStart w:id="31" w:name="_Toc144717601"/>
      <w:r w:rsidRPr="0052596F">
        <w:rPr>
          <w:rStyle w:val="Heading2Char"/>
        </w:rPr>
        <w:t>Principle 4 – Accuracy</w:t>
      </w:r>
      <w:bookmarkEnd w:id="31"/>
      <w:r>
        <w:t xml:space="preserve"> </w:t>
      </w:r>
    </w:p>
    <w:p w14:paraId="5E156D57" w14:textId="77777777" w:rsidR="005A5E95" w:rsidRDefault="008E6DF2" w:rsidP="00330433">
      <w:pPr>
        <w:pStyle w:val="ListParagraph"/>
        <w:ind w:left="0"/>
      </w:pPr>
      <w:r>
        <w:t>Personal data must be accurate and, where necessary, kept up to date</w:t>
      </w:r>
      <w:r w:rsidR="00132C8A">
        <w:t xml:space="preserve">. This means that </w:t>
      </w:r>
      <w:r>
        <w:t xml:space="preserve">every reasonable step must be taken to ensure that personal data </w:t>
      </w:r>
      <w:r w:rsidR="00132C8A">
        <w:t>which</w:t>
      </w:r>
      <w:r>
        <w:t xml:space="preserve"> are inaccurate</w:t>
      </w:r>
      <w:r w:rsidR="005A5E95">
        <w:t xml:space="preserve"> or incomplete</w:t>
      </w:r>
      <w:r>
        <w:t>, having regard to the purposes for which they are processed, are</w:t>
      </w:r>
      <w:r w:rsidR="00132C8A">
        <w:t xml:space="preserve"> </w:t>
      </w:r>
      <w:r>
        <w:t xml:space="preserve">rectified without </w:t>
      </w:r>
      <w:r w:rsidR="00132C8A">
        <w:t xml:space="preserve">undue </w:t>
      </w:r>
      <w:r>
        <w:t xml:space="preserve">delay. </w:t>
      </w:r>
    </w:p>
    <w:p w14:paraId="7710782C" w14:textId="77777777" w:rsidR="005A5E95" w:rsidRDefault="005A5E95" w:rsidP="0052596F">
      <w:pPr>
        <w:pStyle w:val="ListParagraph"/>
        <w:ind w:left="360"/>
      </w:pPr>
    </w:p>
    <w:p w14:paraId="4DDF1A75" w14:textId="77777777" w:rsidR="0052596F" w:rsidRDefault="008E6DF2" w:rsidP="00330433">
      <w:pPr>
        <w:pStyle w:val="ListParagraph"/>
        <w:ind w:left="0"/>
      </w:pPr>
      <w:r>
        <w:lastRenderedPageBreak/>
        <w:t>Particular care should be taken when you are collating and/or transmitting information for central record purposes, since a mistake in</w:t>
      </w:r>
      <w:r w:rsidR="005A5E95">
        <w:t>,</w:t>
      </w:r>
      <w:r>
        <w:t xml:space="preserve"> for example</w:t>
      </w:r>
      <w:r w:rsidR="005A5E95">
        <w:t xml:space="preserve"> </w:t>
      </w:r>
      <w:r>
        <w:t xml:space="preserve">the address of a manse which may have been sold and replaced could easily result in a data security breach if confidential information such as a payslip is subsequently sent to the wrong address. </w:t>
      </w:r>
    </w:p>
    <w:p w14:paraId="0306D8B1" w14:textId="77777777" w:rsidR="00862B00" w:rsidRDefault="00862B00" w:rsidP="0052596F">
      <w:pPr>
        <w:pStyle w:val="ListParagraph"/>
        <w:ind w:left="360"/>
        <w:rPr>
          <w:rStyle w:val="Heading2Char"/>
        </w:rPr>
      </w:pPr>
    </w:p>
    <w:p w14:paraId="38B3BE24" w14:textId="77777777" w:rsidR="00132C8A" w:rsidRDefault="008E6DF2" w:rsidP="00330433">
      <w:pPr>
        <w:pStyle w:val="ListParagraph"/>
        <w:ind w:left="0"/>
      </w:pPr>
      <w:bookmarkStart w:id="32" w:name="_Toc144717602"/>
      <w:r w:rsidRPr="00862B00">
        <w:rPr>
          <w:rStyle w:val="Heading2Char"/>
        </w:rPr>
        <w:t>Principle 5 – Storage limitation</w:t>
      </w:r>
      <w:bookmarkEnd w:id="32"/>
      <w:r>
        <w:t xml:space="preserve"> </w:t>
      </w:r>
    </w:p>
    <w:p w14:paraId="1F066416" w14:textId="77777777" w:rsidR="005A5E95" w:rsidRDefault="008E6DF2" w:rsidP="00330433">
      <w:pPr>
        <w:pStyle w:val="ListParagraph"/>
        <w:ind w:left="0"/>
      </w:pPr>
      <w:r>
        <w:t xml:space="preserve">Personal data must be: </w:t>
      </w:r>
    </w:p>
    <w:p w14:paraId="533A563D" w14:textId="77777777" w:rsidR="005A5E95" w:rsidRDefault="008E6DF2" w:rsidP="00330433">
      <w:pPr>
        <w:pStyle w:val="ListParagraph"/>
        <w:numPr>
          <w:ilvl w:val="0"/>
          <w:numId w:val="14"/>
        </w:numPr>
      </w:pPr>
      <w:r>
        <w:t xml:space="preserve">kept in a form which permits identification of individuals for no longer than is necessary for the purposes for which the personal data are processed. It is therefore important to be clear as to what the purposes are from the outset. It also means that data which has been anonymised can be retained; and </w:t>
      </w:r>
    </w:p>
    <w:p w14:paraId="000B4F7C" w14:textId="77777777" w:rsidR="005A5E95" w:rsidRDefault="008E6DF2" w:rsidP="00330433">
      <w:pPr>
        <w:pStyle w:val="ListParagraph"/>
        <w:numPr>
          <w:ilvl w:val="0"/>
          <w:numId w:val="14"/>
        </w:numPr>
      </w:pPr>
      <w:r>
        <w:t xml:space="preserve">subject to appropriate security measures, data may be kept longer for public interest archiving, scientific and historical research and statistical purposes. </w:t>
      </w:r>
    </w:p>
    <w:p w14:paraId="4CF4FC0C" w14:textId="77777777" w:rsidR="005A5E95" w:rsidRDefault="005A5E95" w:rsidP="00330433">
      <w:pPr>
        <w:pStyle w:val="ListParagraph"/>
        <w:ind w:left="0"/>
      </w:pPr>
    </w:p>
    <w:p w14:paraId="6D763472" w14:textId="574C0378" w:rsidR="00753B48" w:rsidRDefault="008E6DF2" w:rsidP="00330433">
      <w:pPr>
        <w:pStyle w:val="ListParagraph"/>
        <w:ind w:left="0"/>
      </w:pPr>
      <w:r>
        <w:t>You should review</w:t>
      </w:r>
      <w:r w:rsidR="00753B48">
        <w:t xml:space="preserve"> regularly</w:t>
      </w:r>
      <w:r>
        <w:t xml:space="preserve"> what information you are holding and </w:t>
      </w:r>
      <w:r w:rsidR="00753B48">
        <w:t>with a view to assess</w:t>
      </w:r>
      <w:r w:rsidR="00D92760">
        <w:t>ing</w:t>
      </w:r>
      <w:r w:rsidR="00753B48">
        <w:t xml:space="preserve"> the retention periods to ensure data is not held longer than necessary.</w:t>
      </w:r>
    </w:p>
    <w:p w14:paraId="6AC6E9F4" w14:textId="77777777" w:rsidR="00753B48" w:rsidRDefault="00753B48" w:rsidP="00330433">
      <w:pPr>
        <w:pStyle w:val="ListParagraph"/>
        <w:ind w:left="0"/>
      </w:pPr>
    </w:p>
    <w:p w14:paraId="6C0A2F3F" w14:textId="77777777" w:rsidR="005A5E95" w:rsidRDefault="008E6DF2" w:rsidP="00330433">
      <w:pPr>
        <w:pStyle w:val="ListParagraph"/>
        <w:ind w:left="0"/>
      </w:pPr>
      <w:r>
        <w:t>You should carry out a data audit with the aim of establishing exactly what personal information is held, along with a number of other essential details such as:</w:t>
      </w:r>
    </w:p>
    <w:p w14:paraId="5DC37C98" w14:textId="77777777" w:rsidR="005A5E95" w:rsidRDefault="008E6DF2" w:rsidP="00330433">
      <w:pPr>
        <w:pStyle w:val="ListParagraph"/>
        <w:numPr>
          <w:ilvl w:val="0"/>
          <w:numId w:val="13"/>
        </w:numPr>
        <w:ind w:left="720"/>
      </w:pPr>
      <w:r>
        <w:t>The purpose for which information is held</w:t>
      </w:r>
    </w:p>
    <w:p w14:paraId="2F8FC509" w14:textId="77777777" w:rsidR="005A5E95" w:rsidRDefault="008E6DF2" w:rsidP="00330433">
      <w:pPr>
        <w:pStyle w:val="ListParagraph"/>
        <w:numPr>
          <w:ilvl w:val="0"/>
          <w:numId w:val="13"/>
        </w:numPr>
        <w:ind w:left="720"/>
      </w:pPr>
      <w:r>
        <w:t>The type of information</w:t>
      </w:r>
    </w:p>
    <w:p w14:paraId="3986C0BD" w14:textId="77777777" w:rsidR="005A5E95" w:rsidRDefault="008E6DF2" w:rsidP="00330433">
      <w:pPr>
        <w:pStyle w:val="ListParagraph"/>
        <w:numPr>
          <w:ilvl w:val="0"/>
          <w:numId w:val="13"/>
        </w:numPr>
        <w:ind w:left="720"/>
      </w:pPr>
      <w:r>
        <w:t xml:space="preserve">How it is collected </w:t>
      </w:r>
    </w:p>
    <w:p w14:paraId="019CDDAB" w14:textId="77777777" w:rsidR="005A5E95" w:rsidRDefault="008E6DF2" w:rsidP="00330433">
      <w:pPr>
        <w:pStyle w:val="ListParagraph"/>
        <w:numPr>
          <w:ilvl w:val="0"/>
          <w:numId w:val="13"/>
        </w:numPr>
        <w:ind w:left="720"/>
      </w:pPr>
      <w:r>
        <w:t>How it is accessed, where and by whom</w:t>
      </w:r>
    </w:p>
    <w:p w14:paraId="79F095C6" w14:textId="77777777" w:rsidR="005A5E95" w:rsidRDefault="008E6DF2" w:rsidP="00330433">
      <w:pPr>
        <w:pStyle w:val="ListParagraph"/>
        <w:numPr>
          <w:ilvl w:val="0"/>
          <w:numId w:val="13"/>
        </w:numPr>
        <w:ind w:left="720"/>
      </w:pPr>
      <w:r>
        <w:t xml:space="preserve">How relevant it is </w:t>
      </w:r>
    </w:p>
    <w:p w14:paraId="1DAED707" w14:textId="77777777" w:rsidR="005A5E95" w:rsidRDefault="008E6DF2" w:rsidP="00330433">
      <w:pPr>
        <w:pStyle w:val="ListParagraph"/>
        <w:numPr>
          <w:ilvl w:val="0"/>
          <w:numId w:val="13"/>
        </w:numPr>
        <w:ind w:left="720"/>
      </w:pPr>
      <w:r>
        <w:t>What steps are taken to ensure it is kept up to date</w:t>
      </w:r>
    </w:p>
    <w:p w14:paraId="577BDD91" w14:textId="77777777" w:rsidR="005A5E95" w:rsidRDefault="008E6DF2" w:rsidP="00330433">
      <w:pPr>
        <w:pStyle w:val="ListParagraph"/>
        <w:numPr>
          <w:ilvl w:val="0"/>
          <w:numId w:val="13"/>
        </w:numPr>
        <w:ind w:left="720"/>
      </w:pPr>
      <w:r>
        <w:t xml:space="preserve">How long it is retained </w:t>
      </w:r>
    </w:p>
    <w:p w14:paraId="45EFDC17" w14:textId="77777777" w:rsidR="005A5E95" w:rsidRDefault="008E6DF2" w:rsidP="00330433">
      <w:pPr>
        <w:pStyle w:val="ListParagraph"/>
        <w:numPr>
          <w:ilvl w:val="0"/>
          <w:numId w:val="13"/>
        </w:numPr>
        <w:ind w:left="720"/>
      </w:pPr>
      <w:r>
        <w:t xml:space="preserve">What security measures are in place </w:t>
      </w:r>
    </w:p>
    <w:p w14:paraId="1DDB4516" w14:textId="77777777" w:rsidR="005A5E95" w:rsidRDefault="008E6DF2" w:rsidP="00330433">
      <w:pPr>
        <w:pStyle w:val="ListParagraph"/>
        <w:numPr>
          <w:ilvl w:val="0"/>
          <w:numId w:val="13"/>
        </w:numPr>
        <w:ind w:left="720"/>
      </w:pPr>
      <w:r>
        <w:t xml:space="preserve">Any third parties to whom it is disclosed </w:t>
      </w:r>
    </w:p>
    <w:p w14:paraId="7FF61197" w14:textId="77777777" w:rsidR="005A5E95" w:rsidRDefault="008E6DF2" w:rsidP="00330433">
      <w:pPr>
        <w:pStyle w:val="ListParagraph"/>
        <w:numPr>
          <w:ilvl w:val="0"/>
          <w:numId w:val="13"/>
        </w:numPr>
        <w:ind w:left="720"/>
      </w:pPr>
      <w:r>
        <w:t xml:space="preserve">Whether it is transferred outside the UK </w:t>
      </w:r>
    </w:p>
    <w:p w14:paraId="1E0DBB54" w14:textId="77777777" w:rsidR="00753B48" w:rsidRDefault="00753B48" w:rsidP="00330433">
      <w:pPr>
        <w:pStyle w:val="ListParagraph"/>
      </w:pPr>
    </w:p>
    <w:p w14:paraId="0FD84788" w14:textId="39870B35" w:rsidR="00753B48" w:rsidRDefault="008E6DF2" w:rsidP="00330433">
      <w:pPr>
        <w:pStyle w:val="ListParagraph"/>
        <w:ind w:left="0"/>
      </w:pPr>
      <w:r>
        <w:t xml:space="preserve">Once you know what information you are holding, it </w:t>
      </w:r>
      <w:r w:rsidR="00753B48">
        <w:t>is much</w:t>
      </w:r>
      <w:r>
        <w:t xml:space="preserve"> easier to </w:t>
      </w:r>
      <w:r w:rsidR="00753B48">
        <w:t>c</w:t>
      </w:r>
      <w:r>
        <w:t xml:space="preserve">omply with the </w:t>
      </w:r>
      <w:r w:rsidR="00753B48">
        <w:t>requirements of data protection laws</w:t>
      </w:r>
      <w:r>
        <w:t xml:space="preserve">. </w:t>
      </w:r>
      <w:r w:rsidR="00D92760">
        <w:t>C</w:t>
      </w:r>
      <w:r w:rsidR="00753B48">
        <w:t>arrying out the audit will enable you to assess what data does need to be destroyed as it is past the retention period, this will</w:t>
      </w:r>
      <w:r>
        <w:t xml:space="preserve"> aid </w:t>
      </w:r>
      <w:r w:rsidR="00753B48">
        <w:t>in improved</w:t>
      </w:r>
      <w:r>
        <w:t xml:space="preserve"> information </w:t>
      </w:r>
      <w:r w:rsidR="00753B48">
        <w:t xml:space="preserve">governance of the information held by the </w:t>
      </w:r>
      <w:r w:rsidR="00D92760">
        <w:t>congregation</w:t>
      </w:r>
      <w:r w:rsidR="00753B48">
        <w:t>.</w:t>
      </w:r>
    </w:p>
    <w:p w14:paraId="773CE0DA" w14:textId="77777777" w:rsidR="00753B48" w:rsidRDefault="00753B48" w:rsidP="00330433">
      <w:pPr>
        <w:pStyle w:val="ListParagraph"/>
        <w:ind w:left="0"/>
      </w:pPr>
    </w:p>
    <w:p w14:paraId="758B1117" w14:textId="77777777" w:rsidR="00753B48" w:rsidRDefault="008E6DF2" w:rsidP="00330433">
      <w:pPr>
        <w:pStyle w:val="ListParagraph"/>
        <w:ind w:left="0"/>
      </w:pPr>
      <w:r>
        <w:t xml:space="preserve">You should not hold information that you reasonably believe to be out of date, including names on a Communion Roll or Supplementary Roll, unless you have a clear purpose in doing so which passes the 3-step “legitimate interests test” referred to on page </w:t>
      </w:r>
      <w:r w:rsidR="00753B48">
        <w:t>7</w:t>
      </w:r>
      <w:r>
        <w:t>. Regular reviews of Supplementary Rolls should be carried out to determine why information is being held and whether it may be appropriate to</w:t>
      </w:r>
      <w:r w:rsidR="00753B48">
        <w:t xml:space="preserve"> no longer hold it and destroy the information securely</w:t>
      </w:r>
      <w:r>
        <w:t xml:space="preserve">. It may, for example, be appropriate to retain personal details so that if someone who has moved out of the parish should ask for their </w:t>
      </w:r>
      <w:r w:rsidR="00753B48">
        <w:t>details contained in the rolls</w:t>
      </w:r>
      <w:r>
        <w:t xml:space="preserve"> there will be a record of their membership</w:t>
      </w:r>
      <w:r w:rsidR="00753B48">
        <w:t xml:space="preserve"> which can be provided to them if they exercise their Right of Access.</w:t>
      </w:r>
    </w:p>
    <w:p w14:paraId="731B8FF8" w14:textId="77777777" w:rsidR="00753B48" w:rsidRDefault="00753B48" w:rsidP="0052596F">
      <w:pPr>
        <w:pStyle w:val="ListParagraph"/>
        <w:ind w:left="360"/>
      </w:pPr>
    </w:p>
    <w:p w14:paraId="036F1D9A" w14:textId="77777777" w:rsidR="00862B00" w:rsidRDefault="008E6DF2" w:rsidP="00330433">
      <w:pPr>
        <w:pStyle w:val="ListParagraph"/>
        <w:ind w:left="0"/>
      </w:pPr>
      <w:r>
        <w:lastRenderedPageBreak/>
        <w:t>A separate guidance note on data retention is available: Data Retention Policy</w:t>
      </w:r>
      <w:r w:rsidR="00753B48">
        <w:t xml:space="preserve"> [insert link]</w:t>
      </w:r>
      <w:r>
        <w:t>. A data audit template is available: Data Audit Form</w:t>
      </w:r>
      <w:r w:rsidR="00753B48">
        <w:t xml:space="preserve"> [insert link]</w:t>
      </w:r>
      <w:r>
        <w:t xml:space="preserve">. </w:t>
      </w:r>
    </w:p>
    <w:p w14:paraId="58CF3DD6" w14:textId="77777777" w:rsidR="00862B00" w:rsidRDefault="00862B00" w:rsidP="00330433">
      <w:pPr>
        <w:pStyle w:val="ListParagraph"/>
        <w:ind w:left="0"/>
        <w:rPr>
          <w:rStyle w:val="Heading2Char"/>
        </w:rPr>
      </w:pPr>
    </w:p>
    <w:p w14:paraId="218430FB" w14:textId="77777777" w:rsidR="005A5E95" w:rsidRDefault="008E6DF2" w:rsidP="00330433">
      <w:pPr>
        <w:pStyle w:val="ListParagraph"/>
        <w:ind w:left="0"/>
      </w:pPr>
      <w:bookmarkStart w:id="33" w:name="_Toc144717603"/>
      <w:r w:rsidRPr="00862B00">
        <w:rPr>
          <w:rStyle w:val="Heading2Char"/>
        </w:rPr>
        <w:t>Principle 6 – Integrity and confidentiality</w:t>
      </w:r>
      <w:bookmarkEnd w:id="33"/>
      <w:r>
        <w:t xml:space="preserve"> </w:t>
      </w:r>
    </w:p>
    <w:p w14:paraId="30247B6D" w14:textId="09B6A26E" w:rsidR="00753B48" w:rsidRDefault="008E6DF2" w:rsidP="00330433">
      <w:pPr>
        <w:pStyle w:val="ListParagraph"/>
        <w:ind w:left="0"/>
      </w:pPr>
      <w:r>
        <w:t xml:space="preserve">Personal data must be processed in a way that ensures </w:t>
      </w:r>
      <w:r w:rsidR="00FB243B">
        <w:t xml:space="preserve">there is </w:t>
      </w:r>
      <w:r>
        <w:t xml:space="preserve">appropriate security </w:t>
      </w:r>
      <w:r w:rsidR="00FB243B">
        <w:t xml:space="preserve">measures in place to protect the </w:t>
      </w:r>
      <w:r>
        <w:t>personal data</w:t>
      </w:r>
      <w:r w:rsidR="00FB243B">
        <w:t xml:space="preserve"> from</w:t>
      </w:r>
      <w:r>
        <w:t xml:space="preserve"> unauthorised or unlawful processing and against accidental loss, destruction or damage</w:t>
      </w:r>
      <w:r w:rsidR="00D21028">
        <w:t xml:space="preserve">. </w:t>
      </w:r>
      <w:r w:rsidR="00860289">
        <w:t>T</w:t>
      </w:r>
      <w:r>
        <w:t xml:space="preserve">echnical </w:t>
      </w:r>
      <w:r w:rsidR="00D21028">
        <w:t xml:space="preserve">and </w:t>
      </w:r>
      <w:r>
        <w:t>organisational measures</w:t>
      </w:r>
      <w:r w:rsidR="00D21028">
        <w:t xml:space="preserve"> which are reasonable and proportionate to the type of data held</w:t>
      </w:r>
      <w:r w:rsidR="00860289">
        <w:t xml:space="preserve"> are required</w:t>
      </w:r>
      <w:r>
        <w:t xml:space="preserve">.  So, data </w:t>
      </w:r>
      <w:r w:rsidR="00D21028">
        <w:t xml:space="preserve">held electronically </w:t>
      </w:r>
      <w:r>
        <w:t>should be kept on secure computer systems and</w:t>
      </w:r>
      <w:r w:rsidR="00D21028">
        <w:t xml:space="preserve"> where the data is held in physical </w:t>
      </w:r>
      <w:proofErr w:type="gramStart"/>
      <w:r w:rsidR="00D21028">
        <w:t>format  it</w:t>
      </w:r>
      <w:proofErr w:type="gramEnd"/>
      <w:r w:rsidR="00D21028">
        <w:t xml:space="preserve"> </w:t>
      </w:r>
      <w:r w:rsidR="00860289">
        <w:t>should be</w:t>
      </w:r>
      <w:r w:rsidR="00D21028">
        <w:t xml:space="preserve"> held in</w:t>
      </w:r>
      <w:r>
        <w:t xml:space="preserve"> secure manual filing systems</w:t>
      </w:r>
      <w:r w:rsidR="00D21028">
        <w:t xml:space="preserve"> and </w:t>
      </w:r>
      <w:r w:rsidR="00860289">
        <w:t>be</w:t>
      </w:r>
      <w:r w:rsidR="00D21028">
        <w:t xml:space="preserve"> locked away</w:t>
      </w:r>
      <w:r>
        <w:t xml:space="preserve">. In particular: </w:t>
      </w:r>
    </w:p>
    <w:p w14:paraId="029FC75D" w14:textId="77777777" w:rsidR="00367945" w:rsidRDefault="001409DB" w:rsidP="00330433">
      <w:pPr>
        <w:pStyle w:val="ListParagraph"/>
        <w:numPr>
          <w:ilvl w:val="0"/>
          <w:numId w:val="15"/>
        </w:numPr>
        <w:ind w:left="720"/>
      </w:pPr>
      <w:r>
        <w:t>P</w:t>
      </w:r>
      <w:r w:rsidR="008E6DF2">
        <w:t>asswords should be kept secure, should be strong, changed regularly and not shared. If computers are in shared areas the user should lock or log off when away from his or her desk.</w:t>
      </w:r>
    </w:p>
    <w:p w14:paraId="46AFE831" w14:textId="77777777" w:rsidR="00367945" w:rsidRDefault="0029368C" w:rsidP="00330433">
      <w:pPr>
        <w:pStyle w:val="ListParagraph"/>
        <w:numPr>
          <w:ilvl w:val="0"/>
          <w:numId w:val="15"/>
        </w:numPr>
        <w:ind w:left="720"/>
      </w:pPr>
      <w:r>
        <w:t>I</w:t>
      </w:r>
      <w:r w:rsidR="008E6DF2">
        <w:t xml:space="preserve">f you are sharing a computer or tablet with anyone else, you must ensure that all personal data relating to other people is password-protected. </w:t>
      </w:r>
    </w:p>
    <w:p w14:paraId="656B7C7D" w14:textId="77777777" w:rsidR="00367945" w:rsidRDefault="0029368C" w:rsidP="00330433">
      <w:pPr>
        <w:pStyle w:val="ListParagraph"/>
        <w:numPr>
          <w:ilvl w:val="0"/>
          <w:numId w:val="15"/>
        </w:numPr>
        <w:ind w:left="720"/>
      </w:pPr>
      <w:r>
        <w:t>U</w:t>
      </w:r>
      <w:r w:rsidR="008E6DF2">
        <w:t xml:space="preserve">se the “bcc” rather than “cc” or “to” fields when emailing a large number of people, unless everyone has agreed for their details to be shared amongst the group </w:t>
      </w:r>
    </w:p>
    <w:p w14:paraId="6793AC56" w14:textId="77777777" w:rsidR="00367945" w:rsidRDefault="0029368C" w:rsidP="00330433">
      <w:pPr>
        <w:pStyle w:val="ListParagraph"/>
        <w:numPr>
          <w:ilvl w:val="0"/>
          <w:numId w:val="15"/>
        </w:numPr>
        <w:ind w:left="720"/>
      </w:pPr>
      <w:r>
        <w:t>C</w:t>
      </w:r>
      <w:r w:rsidR="008E6DF2">
        <w:t xml:space="preserve">onfidential paper waste should be disposed of securely by shredding. </w:t>
      </w:r>
    </w:p>
    <w:p w14:paraId="274752C9" w14:textId="77777777" w:rsidR="00367945" w:rsidRDefault="0029368C" w:rsidP="00330433">
      <w:pPr>
        <w:pStyle w:val="ListParagraph"/>
        <w:numPr>
          <w:ilvl w:val="0"/>
          <w:numId w:val="15"/>
        </w:numPr>
        <w:ind w:left="720"/>
      </w:pPr>
      <w:r>
        <w:t>E</w:t>
      </w:r>
      <w:r w:rsidR="008E6DF2">
        <w:t>mails containing personal information should not be sent to anyone’s work email address (other than “@churchofscotland.org</w:t>
      </w:r>
      <w:r>
        <w:t>.uk</w:t>
      </w:r>
      <w:r w:rsidR="008E6DF2">
        <w:t xml:space="preserve">” addresses), as this might be accessed by third parties </w:t>
      </w:r>
    </w:p>
    <w:p w14:paraId="763F9FF0" w14:textId="3E8208B1" w:rsidR="00367945" w:rsidRDefault="0029368C" w:rsidP="00330433">
      <w:pPr>
        <w:pStyle w:val="ListParagraph"/>
        <w:numPr>
          <w:ilvl w:val="0"/>
          <w:numId w:val="15"/>
        </w:numPr>
        <w:ind w:left="720"/>
      </w:pPr>
      <w:r>
        <w:t>T</w:t>
      </w:r>
      <w:r w:rsidR="008E6DF2">
        <w:t xml:space="preserve">o prevent virus attacks care should be taken when opening emails and attachments or visiting new websites. </w:t>
      </w:r>
      <w:r>
        <w:t xml:space="preserve">It is also important that </w:t>
      </w:r>
      <w:r w:rsidR="00860289">
        <w:t>your</w:t>
      </w:r>
      <w:r>
        <w:t xml:space="preserve"> computer has up to date </w:t>
      </w:r>
      <w:r w:rsidR="00F62DBB">
        <w:t>anti-virus</w:t>
      </w:r>
      <w:r>
        <w:t xml:space="preserve"> software to protect the data held on the computer from virus attacks.</w:t>
      </w:r>
    </w:p>
    <w:p w14:paraId="01E7BFDD" w14:textId="77777777" w:rsidR="00367945" w:rsidRDefault="0029368C" w:rsidP="00330433">
      <w:pPr>
        <w:pStyle w:val="ListParagraph"/>
        <w:numPr>
          <w:ilvl w:val="0"/>
          <w:numId w:val="15"/>
        </w:numPr>
        <w:ind w:left="720"/>
      </w:pPr>
      <w:r>
        <w:t>A hard</w:t>
      </w:r>
      <w:r w:rsidR="008E6DF2">
        <w:t xml:space="preserve"> copy </w:t>
      </w:r>
      <w:r>
        <w:t xml:space="preserve">of </w:t>
      </w:r>
      <w:r w:rsidR="008E6DF2">
        <w:t xml:space="preserve">personal information should be securely stored and not visible </w:t>
      </w:r>
      <w:r>
        <w:t xml:space="preserve">or accessible </w:t>
      </w:r>
      <w:r w:rsidR="008E6DF2">
        <w:t xml:space="preserve">when </w:t>
      </w:r>
      <w:r>
        <w:t xml:space="preserve">it is </w:t>
      </w:r>
      <w:r w:rsidR="008E6DF2">
        <w:t xml:space="preserve">not being used. </w:t>
      </w:r>
    </w:p>
    <w:p w14:paraId="32B8368F" w14:textId="77777777" w:rsidR="00367945" w:rsidRDefault="0029368C" w:rsidP="00330433">
      <w:pPr>
        <w:pStyle w:val="ListParagraph"/>
        <w:numPr>
          <w:ilvl w:val="0"/>
          <w:numId w:val="15"/>
        </w:numPr>
        <w:ind w:left="720"/>
      </w:pPr>
      <w:r>
        <w:t>V</w:t>
      </w:r>
      <w:r w:rsidR="008E6DF2">
        <w:t xml:space="preserve">isitors should be signed in and out of premises or accompanied in areas normally restricted to “staff”. </w:t>
      </w:r>
    </w:p>
    <w:p w14:paraId="6011EB69" w14:textId="77777777" w:rsidR="00367945" w:rsidRDefault="0029368C" w:rsidP="00330433">
      <w:pPr>
        <w:pStyle w:val="ListParagraph"/>
        <w:numPr>
          <w:ilvl w:val="0"/>
          <w:numId w:val="15"/>
        </w:numPr>
        <w:ind w:left="720"/>
      </w:pPr>
      <w:r>
        <w:t>P</w:t>
      </w:r>
      <w:r w:rsidR="008E6DF2">
        <w:t>ersonal data being taken off the premises should be encrypted</w:t>
      </w:r>
      <w:r>
        <w:t xml:space="preserve"> if in an electronic format or locked securely if in a physical format. This is to protect the individuals </w:t>
      </w:r>
      <w:r w:rsidR="00F62DBB">
        <w:t>from damage</w:t>
      </w:r>
      <w:r w:rsidR="008E6DF2">
        <w:t xml:space="preserve"> or distress if</w:t>
      </w:r>
      <w:r>
        <w:t xml:space="preserve"> the data was</w:t>
      </w:r>
      <w:r w:rsidR="008E6DF2">
        <w:t xml:space="preserve"> lost or stolen. </w:t>
      </w:r>
    </w:p>
    <w:p w14:paraId="2A80F55C" w14:textId="77777777" w:rsidR="00367945" w:rsidRDefault="0029368C" w:rsidP="00330433">
      <w:pPr>
        <w:pStyle w:val="ListParagraph"/>
        <w:numPr>
          <w:ilvl w:val="0"/>
          <w:numId w:val="15"/>
        </w:numPr>
        <w:ind w:left="720"/>
      </w:pPr>
      <w:r>
        <w:t>Any data held on computers should be backed up regularly and these back-ups held securely</w:t>
      </w:r>
      <w:r w:rsidR="008E6DF2">
        <w:t xml:space="preserve">. </w:t>
      </w:r>
    </w:p>
    <w:p w14:paraId="30519893" w14:textId="77777777" w:rsidR="00367945" w:rsidRDefault="0029368C" w:rsidP="00330433">
      <w:pPr>
        <w:pStyle w:val="ListParagraph"/>
        <w:numPr>
          <w:ilvl w:val="0"/>
          <w:numId w:val="15"/>
        </w:numPr>
        <w:ind w:left="720"/>
      </w:pPr>
      <w:r>
        <w:t>W</w:t>
      </w:r>
      <w:r w:rsidR="008E6DF2">
        <w:t xml:space="preserve">hen congregational information is processed using home computers it should be password protected and encrypted for transport using an encryption system such as BitLocker. </w:t>
      </w:r>
    </w:p>
    <w:p w14:paraId="45570430" w14:textId="77777777" w:rsidR="00367945" w:rsidRDefault="00367945" w:rsidP="00330433">
      <w:pPr>
        <w:pStyle w:val="ListParagraph"/>
        <w:ind w:left="0"/>
      </w:pPr>
    </w:p>
    <w:p w14:paraId="36487589" w14:textId="77777777" w:rsidR="00367945" w:rsidRDefault="008E6DF2" w:rsidP="00330433">
      <w:pPr>
        <w:pStyle w:val="ListParagraph"/>
        <w:ind w:left="0"/>
      </w:pPr>
      <w:r>
        <w:t xml:space="preserve">When records are transported for the purpose of inspection by Presbytery, they should be handled as securely as possible, for example by using a lockable document case. </w:t>
      </w:r>
    </w:p>
    <w:p w14:paraId="14D1E948" w14:textId="77777777" w:rsidR="00367945" w:rsidRDefault="00367945" w:rsidP="00330433">
      <w:pPr>
        <w:pStyle w:val="ListParagraph"/>
        <w:ind w:left="0"/>
      </w:pPr>
    </w:p>
    <w:p w14:paraId="53EF20D5" w14:textId="77777777" w:rsidR="00367945" w:rsidRDefault="008E6DF2" w:rsidP="00330433">
      <w:pPr>
        <w:pStyle w:val="ListParagraph"/>
        <w:ind w:left="0"/>
      </w:pPr>
      <w:bookmarkStart w:id="34" w:name="_Hlk146289469"/>
      <w:r>
        <w:t xml:space="preserve">Cradle rolls should only include the name of the child and the date of baptism. Explicit consent must be obtained from the child’s parent(s) if the cradle rolls are </w:t>
      </w:r>
      <w:r w:rsidR="0029368C">
        <w:t>to be publicly displayed</w:t>
      </w:r>
      <w:r>
        <w:t xml:space="preserve">. </w:t>
      </w:r>
    </w:p>
    <w:bookmarkEnd w:id="34"/>
    <w:p w14:paraId="17CB75A1" w14:textId="77777777" w:rsidR="0029368C" w:rsidRDefault="0029368C" w:rsidP="0052596F">
      <w:pPr>
        <w:pStyle w:val="ListParagraph"/>
        <w:ind w:left="360"/>
      </w:pPr>
    </w:p>
    <w:p w14:paraId="736C6AB1" w14:textId="77777777" w:rsidR="00367945" w:rsidRDefault="008E6DF2" w:rsidP="00330433">
      <w:pPr>
        <w:pStyle w:val="ListParagraph"/>
        <w:ind w:left="0"/>
      </w:pPr>
      <w:r>
        <w:t xml:space="preserve">The Church must respect the individual’s right to </w:t>
      </w:r>
      <w:r w:rsidR="0029368C">
        <w:t>privacy</w:t>
      </w:r>
      <w:r>
        <w:t xml:space="preserve">. Care must be taken to ensure that third parties cannot access information without the permission of the individual concerned and that data </w:t>
      </w:r>
      <w:r>
        <w:lastRenderedPageBreak/>
        <w:t xml:space="preserve">about individuals is not disclosed – to third parties or others – without their consent, unless the Church is </w:t>
      </w:r>
      <w:r w:rsidR="00E1142D">
        <w:t xml:space="preserve">legally </w:t>
      </w:r>
      <w:r>
        <w:t xml:space="preserve">obliged to disclose the data. </w:t>
      </w:r>
    </w:p>
    <w:p w14:paraId="2145F3E6" w14:textId="77777777" w:rsidR="00367945" w:rsidRDefault="00367945" w:rsidP="00330433">
      <w:pPr>
        <w:pStyle w:val="ListParagraph"/>
        <w:ind w:left="0"/>
      </w:pPr>
    </w:p>
    <w:p w14:paraId="13AA921A" w14:textId="77777777" w:rsidR="00367945" w:rsidRDefault="008E6DF2" w:rsidP="00330433">
      <w:pPr>
        <w:pStyle w:val="ListParagraph"/>
        <w:ind w:left="0"/>
      </w:pPr>
      <w:r>
        <w:t>Care should be taken in dealing with any request for personal information over the telephone. The amount of information given out over the telephone should be limited and in any event identity checks should be carried out if giving</w:t>
      </w:r>
      <w:r w:rsidR="002802A8">
        <w:t xml:space="preserve"> any personal</w:t>
      </w:r>
      <w:r>
        <w:t xml:space="preserve"> information out over the telephone, whether by way of an incoming or an outgoing call, to ensure that the person requesting the information is either the individual concerned, or someone properly authorised to act on their behalf. </w:t>
      </w:r>
      <w:r w:rsidR="002802A8">
        <w:t>It is therefore vital that identity checks are carried out to ensure no data is disclosed to unauthorised individuals.</w:t>
      </w:r>
    </w:p>
    <w:p w14:paraId="11B3B73B" w14:textId="77777777" w:rsidR="00367945" w:rsidRDefault="00367945" w:rsidP="00330433">
      <w:pPr>
        <w:pStyle w:val="ListParagraph"/>
        <w:ind w:left="0"/>
      </w:pPr>
    </w:p>
    <w:p w14:paraId="3689065C" w14:textId="36867DF3" w:rsidR="0052596F" w:rsidRDefault="008E6DF2" w:rsidP="00330433">
      <w:pPr>
        <w:pStyle w:val="ListParagraph"/>
        <w:ind w:left="0"/>
      </w:pPr>
      <w:r>
        <w:t xml:space="preserve">Most breaches relate to a breach of this principle, and arise from data being sent by email, post or fax to the wrong person. The best thing you can do to protect yourself against this is to be careful when handling personal information, </w:t>
      </w:r>
      <w:r w:rsidR="002802A8">
        <w:t xml:space="preserve">whether sending it electronically or in hard copy </w:t>
      </w:r>
      <w:r w:rsidR="006D6756">
        <w:t xml:space="preserve">and </w:t>
      </w:r>
      <w:r w:rsidR="002802A8">
        <w:t>ensure that appropriate security controls are in place.</w:t>
      </w:r>
      <w:r>
        <w:t xml:space="preserve"> </w:t>
      </w:r>
    </w:p>
    <w:p w14:paraId="41C5CC8A" w14:textId="77777777" w:rsidR="00862B00" w:rsidRDefault="00862B00" w:rsidP="0052596F">
      <w:pPr>
        <w:pStyle w:val="ListParagraph"/>
        <w:ind w:left="360"/>
        <w:rPr>
          <w:rStyle w:val="Heading2Char"/>
        </w:rPr>
      </w:pPr>
    </w:p>
    <w:p w14:paraId="5C44B128" w14:textId="77777777" w:rsidR="002802A8" w:rsidRDefault="008E6DF2" w:rsidP="00330433">
      <w:pPr>
        <w:pStyle w:val="ListParagraph"/>
        <w:ind w:left="0"/>
        <w:rPr>
          <w:rStyle w:val="Heading2Char"/>
        </w:rPr>
      </w:pPr>
      <w:bookmarkStart w:id="35" w:name="_Toc144717604"/>
      <w:r w:rsidRPr="00862B00">
        <w:rPr>
          <w:rStyle w:val="Heading2Char"/>
        </w:rPr>
        <w:t>Principle 7 – Accountability</w:t>
      </w:r>
      <w:bookmarkEnd w:id="35"/>
      <w:r w:rsidRPr="00862B00">
        <w:rPr>
          <w:rStyle w:val="Heading2Char"/>
        </w:rPr>
        <w:t xml:space="preserve"> </w:t>
      </w:r>
    </w:p>
    <w:p w14:paraId="78F7ED22" w14:textId="4F64F56D" w:rsidR="002802A8" w:rsidRDefault="002802A8" w:rsidP="00330433">
      <w:pPr>
        <w:pStyle w:val="ListParagraph"/>
        <w:ind w:left="0"/>
      </w:pPr>
      <w:r>
        <w:t>The Accountability Principle was introduced by GD</w:t>
      </w:r>
      <w:r w:rsidR="008E6DF2">
        <w:t xml:space="preserve">PR. </w:t>
      </w:r>
      <w:r>
        <w:t xml:space="preserve">It is designed to ensure controllers and processors are able to evidence compliance with the six principles.  </w:t>
      </w:r>
      <w:r w:rsidR="00F62DBB">
        <w:t>So,</w:t>
      </w:r>
      <w:r w:rsidR="008E6DF2">
        <w:t xml:space="preserve"> you have to be able to </w:t>
      </w:r>
      <w:r w:rsidR="006D6756">
        <w:t>demonstrate</w:t>
      </w:r>
      <w:r w:rsidR="008E6DF2">
        <w:t xml:space="preserve"> that you are compliant. To be able to do this, congregations should, for exampl</w:t>
      </w:r>
      <w:r>
        <w:t>e, d</w:t>
      </w:r>
      <w:r w:rsidR="008E6DF2">
        <w:t xml:space="preserve">ocument the decisions </w:t>
      </w:r>
      <w:r>
        <w:t>taken</w:t>
      </w:r>
      <w:r w:rsidR="008E6DF2">
        <w:t xml:space="preserve"> about the various types of data processin</w:t>
      </w:r>
      <w:r>
        <w:t>g,</w:t>
      </w:r>
      <w:r w:rsidR="008E6DF2">
        <w:t xml:space="preserve"> provide and record staff and volunteer training, review policies</w:t>
      </w:r>
      <w:r>
        <w:t xml:space="preserve"> and procedures</w:t>
      </w:r>
      <w:r w:rsidR="008E6DF2">
        <w:t xml:space="preserve"> and audit processing methods and activities. There </w:t>
      </w:r>
      <w:r>
        <w:t>is</w:t>
      </w:r>
      <w:r w:rsidR="008E6DF2">
        <w:t xml:space="preserve"> a lot of material on the Church website to help with this: </w:t>
      </w:r>
    </w:p>
    <w:p w14:paraId="5A511B26" w14:textId="640321CB" w:rsidR="002802A8" w:rsidRDefault="008E6DF2" w:rsidP="00330433">
      <w:pPr>
        <w:pStyle w:val="ListParagraph"/>
        <w:numPr>
          <w:ilvl w:val="0"/>
          <w:numId w:val="16"/>
        </w:numPr>
        <w:ind w:left="720"/>
      </w:pPr>
      <w:r>
        <w:t xml:space="preserve">a data audit template </w:t>
      </w:r>
    </w:p>
    <w:p w14:paraId="748B6CEC" w14:textId="60A8D79F" w:rsidR="002802A8" w:rsidRDefault="002802A8" w:rsidP="00330433">
      <w:pPr>
        <w:pStyle w:val="ListParagraph"/>
        <w:numPr>
          <w:ilvl w:val="0"/>
          <w:numId w:val="16"/>
        </w:numPr>
        <w:ind w:left="720"/>
      </w:pPr>
      <w:r>
        <w:t>a record of processing activities template</w:t>
      </w:r>
    </w:p>
    <w:p w14:paraId="23DE9E0F" w14:textId="33613BC3" w:rsidR="002802A8" w:rsidRDefault="008E6DF2" w:rsidP="00330433">
      <w:pPr>
        <w:pStyle w:val="ListParagraph"/>
        <w:numPr>
          <w:ilvl w:val="0"/>
          <w:numId w:val="16"/>
        </w:numPr>
        <w:ind w:left="720"/>
      </w:pPr>
      <w:r>
        <w:t>privacy notice template</w:t>
      </w:r>
    </w:p>
    <w:p w14:paraId="2E6276E6" w14:textId="3C27F587" w:rsidR="002802A8" w:rsidRDefault="008E6DF2" w:rsidP="00330433">
      <w:pPr>
        <w:pStyle w:val="ListParagraph"/>
        <w:numPr>
          <w:ilvl w:val="0"/>
          <w:numId w:val="16"/>
        </w:numPr>
        <w:ind w:left="720"/>
      </w:pPr>
      <w:r>
        <w:t xml:space="preserve">a </w:t>
      </w:r>
      <w:hyperlink r:id="rId15" w:history="1">
        <w:r w:rsidRPr="00016060">
          <w:rPr>
            <w:rStyle w:val="Hyperlink"/>
          </w:rPr>
          <w:t>security breach management procedure</w:t>
        </w:r>
      </w:hyperlink>
      <w:r w:rsidR="002802A8">
        <w:t xml:space="preserve"> and </w:t>
      </w:r>
      <w:hyperlink r:id="rId16" w:history="1">
        <w:r w:rsidR="002802A8" w:rsidRPr="008D67F9">
          <w:rPr>
            <w:rStyle w:val="Hyperlink"/>
          </w:rPr>
          <w:t xml:space="preserve">breach </w:t>
        </w:r>
        <w:r w:rsidR="00016060" w:rsidRPr="008D67F9">
          <w:rPr>
            <w:rStyle w:val="Hyperlink"/>
          </w:rPr>
          <w:t>notification</w:t>
        </w:r>
        <w:r w:rsidR="002802A8" w:rsidRPr="008D67F9">
          <w:rPr>
            <w:rStyle w:val="Hyperlink"/>
          </w:rPr>
          <w:t xml:space="preserve"> template</w:t>
        </w:r>
      </w:hyperlink>
    </w:p>
    <w:p w14:paraId="12781A0B" w14:textId="7158D1D4" w:rsidR="002802A8" w:rsidRDefault="008E6DF2" w:rsidP="00330433">
      <w:pPr>
        <w:pStyle w:val="ListParagraph"/>
        <w:numPr>
          <w:ilvl w:val="0"/>
          <w:numId w:val="16"/>
        </w:numPr>
        <w:ind w:left="720"/>
      </w:pPr>
      <w:r>
        <w:t xml:space="preserve">a retention </w:t>
      </w:r>
      <w:r w:rsidR="002802A8">
        <w:t>and disposal schedule</w:t>
      </w:r>
      <w:bookmarkStart w:id="36" w:name="_GoBack"/>
      <w:bookmarkEnd w:id="36"/>
    </w:p>
    <w:p w14:paraId="248BCC39" w14:textId="58441DA3" w:rsidR="00BE3CD6" w:rsidRDefault="00016060" w:rsidP="00330433">
      <w:pPr>
        <w:pStyle w:val="ListParagraph"/>
        <w:numPr>
          <w:ilvl w:val="0"/>
          <w:numId w:val="16"/>
        </w:numPr>
        <w:ind w:left="720"/>
      </w:pPr>
      <w:r>
        <w:fldChar w:fldCharType="begin"/>
      </w:r>
      <w:r>
        <w:instrText xml:space="preserve"> HYPERLINK "https://www.churchofscotland.org.uk/__data/assets/word_doc/0006/113568/legitimate_interests_assessment_for_congregations-2023-update.doc" </w:instrText>
      </w:r>
      <w:r>
        <w:fldChar w:fldCharType="separate"/>
      </w:r>
      <w:r w:rsidR="008E6DF2" w:rsidRPr="00016060">
        <w:rPr>
          <w:rStyle w:val="Hyperlink"/>
        </w:rPr>
        <w:t xml:space="preserve">legitimate </w:t>
      </w:r>
      <w:proofErr w:type="gramStart"/>
      <w:r w:rsidR="008E6DF2" w:rsidRPr="00016060">
        <w:rPr>
          <w:rStyle w:val="Hyperlink"/>
        </w:rPr>
        <w:t>interests</w:t>
      </w:r>
      <w:proofErr w:type="gramEnd"/>
      <w:r w:rsidR="008E6DF2" w:rsidRPr="00016060">
        <w:rPr>
          <w:rStyle w:val="Hyperlink"/>
        </w:rPr>
        <w:t xml:space="preserve"> assessment form</w:t>
      </w:r>
      <w:r>
        <w:fldChar w:fldCharType="end"/>
      </w:r>
      <w:r w:rsidR="008E6DF2">
        <w:t xml:space="preserve"> </w:t>
      </w:r>
    </w:p>
    <w:p w14:paraId="22267156" w14:textId="26B51A8A" w:rsidR="00BE3CD6" w:rsidRDefault="00646696" w:rsidP="00646696">
      <w:pPr>
        <w:pStyle w:val="Heading1"/>
        <w:numPr>
          <w:ilvl w:val="0"/>
          <w:numId w:val="1"/>
        </w:numPr>
        <w:rPr>
          <w:b/>
        </w:rPr>
      </w:pPr>
      <w:bookmarkStart w:id="37" w:name="_Toc144717605"/>
      <w:r w:rsidRPr="00646696">
        <w:rPr>
          <w:b/>
        </w:rPr>
        <w:t xml:space="preserve">Data Subjects Rights </w:t>
      </w:r>
      <w:bookmarkEnd w:id="37"/>
    </w:p>
    <w:p w14:paraId="37D6C6C9" w14:textId="62DE074D" w:rsidR="006C44C5" w:rsidRDefault="006D6756" w:rsidP="006C44C5">
      <w:r>
        <w:t>I</w:t>
      </w:r>
      <w:r w:rsidR="00CE0043">
        <w:t>ndividuals have a number of rights under data protection</w:t>
      </w:r>
      <w:r>
        <w:t xml:space="preserve"> </w:t>
      </w:r>
      <w:r w:rsidR="003C15A0">
        <w:t>legislation</w:t>
      </w:r>
      <w:r w:rsidR="00CE0043">
        <w:t xml:space="preserve">. Not all of these are absolute </w:t>
      </w:r>
      <w:proofErr w:type="gramStart"/>
      <w:r w:rsidR="00CE0043">
        <w:t>rights</w:t>
      </w:r>
      <w:r w:rsidR="00AE62C7">
        <w:t>,</w:t>
      </w:r>
      <w:r w:rsidR="00CE0043">
        <w:t xml:space="preserve">  some</w:t>
      </w:r>
      <w:proofErr w:type="gramEnd"/>
      <w:r w:rsidR="00CE0043">
        <w:t xml:space="preserve"> only apply depending on the lawful basis for processing. </w:t>
      </w:r>
      <w:r w:rsidR="00C755A6">
        <w:t xml:space="preserve">With these rights, it’s important to note that when individuals exercise their rights they are under no obligation to mention the right, or even reference data protection laws.  They can exercise their rights either in writing or </w:t>
      </w:r>
      <w:r>
        <w:t>orally</w:t>
      </w:r>
      <w:r w:rsidR="00C755A6">
        <w:t xml:space="preserve">. The important aspect is that such requests are recognised and processed within </w:t>
      </w:r>
      <w:r>
        <w:t>a</w:t>
      </w:r>
      <w:r w:rsidR="00C755A6">
        <w:t xml:space="preserve"> month of receipt of the request. </w:t>
      </w:r>
      <w:r>
        <w:t xml:space="preserve"> </w:t>
      </w:r>
      <w:r w:rsidR="00C755A6">
        <w:t>All data subject</w:t>
      </w:r>
      <w:r w:rsidR="00CE0043">
        <w:t xml:space="preserve"> rights and what they mean are detailed below</w:t>
      </w:r>
      <w:r>
        <w:t xml:space="preserve">.  The </w:t>
      </w:r>
      <w:r w:rsidR="004F4F67">
        <w:t xml:space="preserve">chart highlights </w:t>
      </w:r>
      <w:r>
        <w:t>which</w:t>
      </w:r>
      <w:r w:rsidR="004F4F67">
        <w:t xml:space="preserve"> rights apply</w:t>
      </w:r>
      <w:r>
        <w:t>, depending on</w:t>
      </w:r>
      <w:r w:rsidR="004F4F67">
        <w:t xml:space="preserve"> the lawful basis</w:t>
      </w:r>
      <w:r>
        <w:t xml:space="preserve"> for processing</w:t>
      </w:r>
      <w:r w:rsidR="004F4F67">
        <w:t>.</w:t>
      </w:r>
    </w:p>
    <w:p w14:paraId="355CD7B7" w14:textId="51CD0B1B" w:rsidR="006D6756" w:rsidRDefault="006D6756" w:rsidP="006C44C5"/>
    <w:p w14:paraId="422FD97C" w14:textId="05680A19" w:rsidR="006D6756" w:rsidRDefault="006D6756" w:rsidP="006C44C5"/>
    <w:p w14:paraId="03580A99" w14:textId="4AEA4B43" w:rsidR="006D6756" w:rsidRDefault="006D6756" w:rsidP="006C44C5"/>
    <w:p w14:paraId="195633F7" w14:textId="0DD018B7" w:rsidR="006D6756" w:rsidRDefault="006D6756" w:rsidP="006C44C5"/>
    <w:p w14:paraId="0350D81C" w14:textId="77777777" w:rsidR="006D6756" w:rsidRDefault="006D6756" w:rsidP="006C44C5"/>
    <w:p w14:paraId="4594DEFE" w14:textId="77777777" w:rsidR="004F4F67" w:rsidRDefault="004F4F67" w:rsidP="004F4F67">
      <w:pPr>
        <w:spacing w:after="0" w:line="240" w:lineRule="auto"/>
      </w:pPr>
    </w:p>
    <w:tbl>
      <w:tblPr>
        <w:tblW w:w="0" w:type="auto"/>
        <w:jc w:val="center"/>
        <w:tblCellMar>
          <w:left w:w="0" w:type="dxa"/>
          <w:right w:w="0" w:type="dxa"/>
        </w:tblCellMar>
        <w:tblLook w:val="04A0" w:firstRow="1" w:lastRow="0" w:firstColumn="1" w:lastColumn="0" w:noHBand="0" w:noVBand="1"/>
      </w:tblPr>
      <w:tblGrid>
        <w:gridCol w:w="1671"/>
        <w:gridCol w:w="1030"/>
        <w:gridCol w:w="1072"/>
        <w:gridCol w:w="1258"/>
        <w:gridCol w:w="1094"/>
        <w:gridCol w:w="1610"/>
        <w:gridCol w:w="1271"/>
      </w:tblGrid>
      <w:tr w:rsidR="004F4F67" w14:paraId="4378B89B" w14:textId="77777777" w:rsidTr="004F4F67">
        <w:trPr>
          <w:jc w:val="center"/>
        </w:trPr>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3B852B" w14:textId="77777777" w:rsidR="004F4F67" w:rsidRDefault="004F4F67">
            <w:pPr>
              <w:rPr>
                <w:b/>
                <w:bCs/>
                <w:sz w:val="24"/>
                <w:szCs w:val="24"/>
              </w:rPr>
            </w:pPr>
          </w:p>
        </w:tc>
        <w:tc>
          <w:tcPr>
            <w:tcW w:w="6819"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70CD17" w14:textId="77777777" w:rsidR="004F4F67" w:rsidRDefault="004F4F67">
            <w:pPr>
              <w:jc w:val="center"/>
              <w:rPr>
                <w:b/>
                <w:bCs/>
                <w:sz w:val="24"/>
                <w:szCs w:val="24"/>
              </w:rPr>
            </w:pPr>
            <w:r>
              <w:rPr>
                <w:b/>
                <w:bCs/>
                <w:sz w:val="24"/>
                <w:szCs w:val="24"/>
              </w:rPr>
              <w:t>Lawful Basis for Processing</w:t>
            </w:r>
          </w:p>
        </w:tc>
      </w:tr>
      <w:tr w:rsidR="004F4F67" w14:paraId="62CC2AD5" w14:textId="77777777" w:rsidTr="004F4F67">
        <w:trPr>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4EF691" w14:textId="77777777" w:rsidR="004F4F67" w:rsidRDefault="004F4F67">
            <w:pPr>
              <w:jc w:val="center"/>
              <w:rPr>
                <w:b/>
                <w:bCs/>
                <w:sz w:val="24"/>
                <w:szCs w:val="24"/>
              </w:rPr>
            </w:pPr>
            <w:r>
              <w:rPr>
                <w:b/>
                <w:bCs/>
                <w:sz w:val="24"/>
                <w:szCs w:val="24"/>
              </w:rPr>
              <w:t>DS Right</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5CD80" w14:textId="77777777" w:rsidR="004F4F67" w:rsidRDefault="004F4F67">
            <w:pPr>
              <w:jc w:val="center"/>
              <w:rPr>
                <w:b/>
                <w:bCs/>
                <w:sz w:val="24"/>
                <w:szCs w:val="24"/>
              </w:rPr>
            </w:pPr>
            <w:r>
              <w:rPr>
                <w:b/>
                <w:bCs/>
                <w:sz w:val="24"/>
                <w:szCs w:val="24"/>
              </w:rPr>
              <w:t>Consent</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98383" w14:textId="77777777" w:rsidR="004F4F67" w:rsidRDefault="004F4F67">
            <w:pPr>
              <w:jc w:val="center"/>
              <w:rPr>
                <w:b/>
                <w:bCs/>
                <w:sz w:val="24"/>
                <w:szCs w:val="24"/>
              </w:rPr>
            </w:pPr>
            <w:r>
              <w:rPr>
                <w:b/>
                <w:bCs/>
                <w:sz w:val="24"/>
                <w:szCs w:val="24"/>
              </w:rPr>
              <w:t>Contract</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71486" w14:textId="77777777" w:rsidR="004F4F67" w:rsidRDefault="004F4F67">
            <w:pPr>
              <w:jc w:val="center"/>
              <w:rPr>
                <w:b/>
                <w:bCs/>
                <w:sz w:val="24"/>
                <w:szCs w:val="24"/>
              </w:rPr>
            </w:pPr>
            <w:r>
              <w:rPr>
                <w:b/>
                <w:bCs/>
                <w:sz w:val="24"/>
                <w:szCs w:val="24"/>
              </w:rPr>
              <w:t>Legal Obligation</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B5403" w14:textId="77777777" w:rsidR="004F4F67" w:rsidRDefault="004F4F67">
            <w:pPr>
              <w:jc w:val="center"/>
              <w:rPr>
                <w:b/>
                <w:bCs/>
                <w:sz w:val="24"/>
                <w:szCs w:val="24"/>
              </w:rPr>
            </w:pPr>
            <w:r>
              <w:rPr>
                <w:b/>
                <w:bCs/>
                <w:sz w:val="24"/>
                <w:szCs w:val="24"/>
              </w:rPr>
              <w:t>Vital Interests</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2D02D" w14:textId="77777777" w:rsidR="004F4F67" w:rsidRDefault="004F4F67">
            <w:pPr>
              <w:jc w:val="center"/>
              <w:rPr>
                <w:b/>
                <w:bCs/>
                <w:sz w:val="24"/>
                <w:szCs w:val="24"/>
              </w:rPr>
            </w:pPr>
            <w:r>
              <w:rPr>
                <w:b/>
                <w:bCs/>
                <w:sz w:val="24"/>
                <w:szCs w:val="24"/>
              </w:rPr>
              <w:t>Public Interests/task</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D6E" w14:textId="77777777" w:rsidR="004F4F67" w:rsidRDefault="004F4F67">
            <w:pPr>
              <w:jc w:val="center"/>
              <w:rPr>
                <w:b/>
                <w:bCs/>
                <w:sz w:val="24"/>
                <w:szCs w:val="24"/>
              </w:rPr>
            </w:pPr>
            <w:r>
              <w:rPr>
                <w:b/>
                <w:bCs/>
                <w:sz w:val="24"/>
                <w:szCs w:val="24"/>
              </w:rPr>
              <w:t>Legitimate Interests</w:t>
            </w:r>
          </w:p>
        </w:tc>
      </w:tr>
      <w:tr w:rsidR="004F4F67" w14:paraId="4CAB8A0C" w14:textId="77777777" w:rsidTr="004F4F67">
        <w:trPr>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1E39" w14:textId="77777777" w:rsidR="004F4F67" w:rsidRDefault="004F4F67">
            <w:pPr>
              <w:jc w:val="center"/>
              <w:rPr>
                <w:sz w:val="24"/>
                <w:szCs w:val="24"/>
              </w:rPr>
            </w:pPr>
            <w:r>
              <w:rPr>
                <w:b/>
                <w:bCs/>
              </w:rPr>
              <w:t>Access</w:t>
            </w:r>
          </w:p>
        </w:tc>
        <w:tc>
          <w:tcPr>
            <w:tcW w:w="1030"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465847B3" w14:textId="77777777" w:rsidR="004F4F67" w:rsidRDefault="004F4F67">
            <w:pPr>
              <w:jc w:val="center"/>
              <w:rPr>
                <w:b/>
                <w:bCs/>
                <w:sz w:val="24"/>
                <w:szCs w:val="24"/>
              </w:rPr>
            </w:pPr>
            <w:r>
              <w:rPr>
                <w:b/>
                <w:bCs/>
                <w:color w:val="000000"/>
                <w:sz w:val="24"/>
                <w:szCs w:val="24"/>
              </w:rPr>
              <w:t>Yes</w:t>
            </w:r>
          </w:p>
        </w:tc>
        <w:tc>
          <w:tcPr>
            <w:tcW w:w="107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43C37372" w14:textId="77777777" w:rsidR="004F4F67" w:rsidRDefault="004F4F67">
            <w:pPr>
              <w:jc w:val="center"/>
              <w:rPr>
                <w:b/>
                <w:bCs/>
                <w:sz w:val="24"/>
                <w:szCs w:val="24"/>
              </w:rPr>
            </w:pPr>
            <w:r>
              <w:rPr>
                <w:b/>
                <w:bCs/>
                <w:color w:val="000000"/>
                <w:sz w:val="24"/>
                <w:szCs w:val="24"/>
              </w:rPr>
              <w:t>Yes</w:t>
            </w:r>
          </w:p>
        </w:tc>
        <w:tc>
          <w:tcPr>
            <w:tcW w:w="1258"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3C30B8F3" w14:textId="77777777" w:rsidR="004F4F67" w:rsidRDefault="004F4F67">
            <w:pPr>
              <w:jc w:val="center"/>
              <w:rPr>
                <w:b/>
                <w:bCs/>
                <w:sz w:val="24"/>
                <w:szCs w:val="24"/>
              </w:rPr>
            </w:pPr>
            <w:r>
              <w:rPr>
                <w:b/>
                <w:bCs/>
                <w:color w:val="000000"/>
                <w:sz w:val="24"/>
                <w:szCs w:val="24"/>
              </w:rPr>
              <w:t>Yes</w:t>
            </w:r>
          </w:p>
        </w:tc>
        <w:tc>
          <w:tcPr>
            <w:tcW w:w="109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343428A1" w14:textId="77777777" w:rsidR="004F4F67" w:rsidRDefault="004F4F67">
            <w:pPr>
              <w:jc w:val="center"/>
              <w:rPr>
                <w:b/>
                <w:bCs/>
                <w:sz w:val="24"/>
                <w:szCs w:val="24"/>
              </w:rPr>
            </w:pPr>
            <w:r>
              <w:rPr>
                <w:b/>
                <w:bCs/>
                <w:color w:val="000000"/>
                <w:sz w:val="24"/>
                <w:szCs w:val="24"/>
              </w:rPr>
              <w:t>Yes</w:t>
            </w:r>
          </w:p>
        </w:tc>
        <w:tc>
          <w:tcPr>
            <w:tcW w:w="109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500786F9" w14:textId="77777777" w:rsidR="004F4F67" w:rsidRDefault="004F4F67">
            <w:pPr>
              <w:jc w:val="center"/>
              <w:rPr>
                <w:b/>
                <w:bCs/>
                <w:sz w:val="24"/>
                <w:szCs w:val="24"/>
              </w:rPr>
            </w:pPr>
            <w:r>
              <w:rPr>
                <w:b/>
                <w:bCs/>
                <w:color w:val="000000"/>
                <w:sz w:val="24"/>
                <w:szCs w:val="24"/>
              </w:rPr>
              <w:t>Yes</w:t>
            </w:r>
          </w:p>
        </w:tc>
        <w:tc>
          <w:tcPr>
            <w:tcW w:w="1271"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4BD1DA2B" w14:textId="77777777" w:rsidR="004F4F67" w:rsidRDefault="004F4F67">
            <w:pPr>
              <w:jc w:val="center"/>
              <w:rPr>
                <w:b/>
                <w:bCs/>
                <w:sz w:val="24"/>
                <w:szCs w:val="24"/>
              </w:rPr>
            </w:pPr>
            <w:r>
              <w:rPr>
                <w:b/>
                <w:bCs/>
                <w:color w:val="000000"/>
                <w:sz w:val="24"/>
                <w:szCs w:val="24"/>
              </w:rPr>
              <w:t>Yes</w:t>
            </w:r>
          </w:p>
        </w:tc>
      </w:tr>
      <w:tr w:rsidR="004F4F67" w14:paraId="0BC703E5" w14:textId="77777777" w:rsidTr="004F4F67">
        <w:trPr>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BD3CF" w14:textId="77777777" w:rsidR="004F4F67" w:rsidRDefault="004F4F67">
            <w:pPr>
              <w:jc w:val="center"/>
              <w:rPr>
                <w:b/>
                <w:bCs/>
              </w:rPr>
            </w:pPr>
            <w:r>
              <w:rPr>
                <w:b/>
                <w:bCs/>
              </w:rPr>
              <w:t>Rectification</w:t>
            </w:r>
          </w:p>
        </w:tc>
        <w:tc>
          <w:tcPr>
            <w:tcW w:w="1030"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6B59AA27" w14:textId="77777777" w:rsidR="004F4F67" w:rsidRDefault="004F4F67">
            <w:pPr>
              <w:jc w:val="center"/>
              <w:rPr>
                <w:b/>
                <w:bCs/>
                <w:color w:val="000000"/>
                <w:sz w:val="24"/>
                <w:szCs w:val="24"/>
              </w:rPr>
            </w:pPr>
            <w:r>
              <w:rPr>
                <w:b/>
                <w:bCs/>
                <w:color w:val="000000"/>
                <w:sz w:val="24"/>
                <w:szCs w:val="24"/>
              </w:rPr>
              <w:t>Yes</w:t>
            </w:r>
          </w:p>
        </w:tc>
        <w:tc>
          <w:tcPr>
            <w:tcW w:w="107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69E1810B" w14:textId="77777777" w:rsidR="004F4F67" w:rsidRDefault="004F4F67">
            <w:pPr>
              <w:jc w:val="center"/>
              <w:rPr>
                <w:b/>
                <w:bCs/>
                <w:color w:val="000000"/>
                <w:sz w:val="24"/>
                <w:szCs w:val="24"/>
              </w:rPr>
            </w:pPr>
            <w:r>
              <w:rPr>
                <w:b/>
                <w:bCs/>
                <w:color w:val="000000"/>
                <w:sz w:val="24"/>
                <w:szCs w:val="24"/>
              </w:rPr>
              <w:t>Yes</w:t>
            </w:r>
          </w:p>
        </w:tc>
        <w:tc>
          <w:tcPr>
            <w:tcW w:w="1258"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0B206BF9" w14:textId="77777777" w:rsidR="004F4F67" w:rsidRDefault="004F4F67">
            <w:pPr>
              <w:jc w:val="center"/>
              <w:rPr>
                <w:b/>
                <w:bCs/>
                <w:color w:val="000000"/>
                <w:sz w:val="24"/>
                <w:szCs w:val="24"/>
              </w:rPr>
            </w:pPr>
            <w:r>
              <w:rPr>
                <w:b/>
                <w:bCs/>
                <w:color w:val="000000"/>
                <w:sz w:val="24"/>
                <w:szCs w:val="24"/>
              </w:rPr>
              <w:t>Yes</w:t>
            </w:r>
          </w:p>
        </w:tc>
        <w:tc>
          <w:tcPr>
            <w:tcW w:w="109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75DAF54A" w14:textId="77777777" w:rsidR="004F4F67" w:rsidRDefault="004F4F67">
            <w:pPr>
              <w:jc w:val="center"/>
              <w:rPr>
                <w:b/>
                <w:bCs/>
                <w:color w:val="000000"/>
                <w:sz w:val="24"/>
                <w:szCs w:val="24"/>
              </w:rPr>
            </w:pPr>
            <w:r>
              <w:rPr>
                <w:b/>
                <w:bCs/>
                <w:color w:val="000000"/>
                <w:sz w:val="24"/>
                <w:szCs w:val="24"/>
              </w:rPr>
              <w:t>Yes</w:t>
            </w:r>
          </w:p>
        </w:tc>
        <w:tc>
          <w:tcPr>
            <w:tcW w:w="109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6C00FCCF" w14:textId="77777777" w:rsidR="004F4F67" w:rsidRDefault="004F4F67">
            <w:pPr>
              <w:jc w:val="center"/>
              <w:rPr>
                <w:b/>
                <w:bCs/>
                <w:color w:val="000000"/>
                <w:sz w:val="24"/>
                <w:szCs w:val="24"/>
              </w:rPr>
            </w:pPr>
            <w:r>
              <w:rPr>
                <w:b/>
                <w:bCs/>
                <w:color w:val="000000"/>
                <w:sz w:val="24"/>
                <w:szCs w:val="24"/>
              </w:rPr>
              <w:t>Yes</w:t>
            </w:r>
          </w:p>
        </w:tc>
        <w:tc>
          <w:tcPr>
            <w:tcW w:w="1271"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7CEF84CF" w14:textId="77777777" w:rsidR="004F4F67" w:rsidRDefault="004F4F67">
            <w:pPr>
              <w:jc w:val="center"/>
              <w:rPr>
                <w:b/>
                <w:bCs/>
                <w:color w:val="000000"/>
                <w:sz w:val="24"/>
                <w:szCs w:val="24"/>
              </w:rPr>
            </w:pPr>
            <w:r>
              <w:rPr>
                <w:b/>
                <w:bCs/>
                <w:color w:val="000000"/>
                <w:sz w:val="24"/>
                <w:szCs w:val="24"/>
              </w:rPr>
              <w:t>Yes</w:t>
            </w:r>
          </w:p>
        </w:tc>
      </w:tr>
      <w:tr w:rsidR="004F4F67" w14:paraId="035BCE87" w14:textId="77777777" w:rsidTr="004F4F67">
        <w:trPr>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D240F" w14:textId="77777777" w:rsidR="004F4F67" w:rsidRDefault="004F4F67">
            <w:pPr>
              <w:jc w:val="center"/>
              <w:rPr>
                <w:sz w:val="24"/>
                <w:szCs w:val="24"/>
              </w:rPr>
            </w:pPr>
            <w:r>
              <w:rPr>
                <w:b/>
                <w:bCs/>
              </w:rPr>
              <w:t>Erasure</w:t>
            </w:r>
          </w:p>
        </w:tc>
        <w:tc>
          <w:tcPr>
            <w:tcW w:w="1030"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608D324F" w14:textId="77777777" w:rsidR="004F4F67" w:rsidRDefault="004F4F67">
            <w:pPr>
              <w:jc w:val="center"/>
              <w:rPr>
                <w:b/>
                <w:bCs/>
                <w:sz w:val="24"/>
                <w:szCs w:val="24"/>
              </w:rPr>
            </w:pPr>
            <w:r>
              <w:rPr>
                <w:b/>
                <w:bCs/>
                <w:color w:val="000000"/>
                <w:sz w:val="24"/>
                <w:szCs w:val="24"/>
              </w:rPr>
              <w:t>Yes</w:t>
            </w:r>
          </w:p>
        </w:tc>
        <w:tc>
          <w:tcPr>
            <w:tcW w:w="107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23CFD90B" w14:textId="77777777" w:rsidR="004F4F67" w:rsidRDefault="004F4F67">
            <w:pPr>
              <w:jc w:val="center"/>
              <w:rPr>
                <w:b/>
                <w:bCs/>
                <w:sz w:val="24"/>
                <w:szCs w:val="24"/>
              </w:rPr>
            </w:pPr>
            <w:r>
              <w:rPr>
                <w:b/>
                <w:bCs/>
                <w:color w:val="000000"/>
                <w:sz w:val="24"/>
                <w:szCs w:val="24"/>
              </w:rPr>
              <w:t>Yes</w:t>
            </w:r>
          </w:p>
        </w:tc>
        <w:tc>
          <w:tcPr>
            <w:tcW w:w="1258"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77C63463" w14:textId="77777777" w:rsidR="004F4F67" w:rsidRDefault="004F4F67">
            <w:pPr>
              <w:jc w:val="center"/>
              <w:rPr>
                <w:b/>
                <w:bCs/>
                <w:sz w:val="24"/>
                <w:szCs w:val="24"/>
              </w:rPr>
            </w:pPr>
            <w:r>
              <w:rPr>
                <w:b/>
                <w:bCs/>
                <w:color w:val="000000"/>
                <w:sz w:val="24"/>
                <w:szCs w:val="24"/>
              </w:rPr>
              <w:t>No</w:t>
            </w:r>
          </w:p>
        </w:tc>
        <w:tc>
          <w:tcPr>
            <w:tcW w:w="109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09D4BF6A" w14:textId="77777777" w:rsidR="004F4F67" w:rsidRDefault="004F4F67">
            <w:pPr>
              <w:jc w:val="center"/>
              <w:rPr>
                <w:b/>
                <w:bCs/>
                <w:sz w:val="24"/>
                <w:szCs w:val="24"/>
              </w:rPr>
            </w:pPr>
            <w:r>
              <w:rPr>
                <w:b/>
                <w:bCs/>
                <w:color w:val="000000"/>
                <w:sz w:val="24"/>
                <w:szCs w:val="24"/>
              </w:rPr>
              <w:t>Yes</w:t>
            </w:r>
          </w:p>
        </w:tc>
        <w:tc>
          <w:tcPr>
            <w:tcW w:w="1094"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41C00C51" w14:textId="77777777" w:rsidR="004F4F67" w:rsidRDefault="004F4F67">
            <w:pPr>
              <w:jc w:val="center"/>
              <w:rPr>
                <w:b/>
                <w:bCs/>
                <w:sz w:val="24"/>
                <w:szCs w:val="24"/>
              </w:rPr>
            </w:pPr>
            <w:r>
              <w:rPr>
                <w:b/>
                <w:bCs/>
                <w:color w:val="000000"/>
                <w:sz w:val="24"/>
                <w:szCs w:val="24"/>
              </w:rPr>
              <w:t>No</w:t>
            </w:r>
          </w:p>
        </w:tc>
        <w:tc>
          <w:tcPr>
            <w:tcW w:w="1271"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7FA54BD9" w14:textId="77777777" w:rsidR="004F4F67" w:rsidRDefault="004F4F67">
            <w:pPr>
              <w:jc w:val="center"/>
              <w:rPr>
                <w:b/>
                <w:bCs/>
                <w:sz w:val="24"/>
                <w:szCs w:val="24"/>
              </w:rPr>
            </w:pPr>
            <w:r>
              <w:rPr>
                <w:b/>
                <w:bCs/>
                <w:color w:val="000000"/>
                <w:sz w:val="24"/>
                <w:szCs w:val="24"/>
              </w:rPr>
              <w:t>Yes</w:t>
            </w:r>
          </w:p>
        </w:tc>
      </w:tr>
      <w:tr w:rsidR="004F4F67" w14:paraId="6B945BE2" w14:textId="77777777" w:rsidTr="004F4F67">
        <w:trPr>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ECCE8" w14:textId="77777777" w:rsidR="004F4F67" w:rsidRDefault="004F4F67">
            <w:pPr>
              <w:jc w:val="center"/>
              <w:rPr>
                <w:sz w:val="24"/>
                <w:szCs w:val="24"/>
              </w:rPr>
            </w:pPr>
            <w:r>
              <w:rPr>
                <w:b/>
                <w:bCs/>
              </w:rPr>
              <w:t>Restrict Processing</w:t>
            </w:r>
          </w:p>
        </w:tc>
        <w:tc>
          <w:tcPr>
            <w:tcW w:w="1030"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76D7E580" w14:textId="77777777" w:rsidR="004F4F67" w:rsidRDefault="004F4F67">
            <w:pPr>
              <w:jc w:val="center"/>
              <w:rPr>
                <w:b/>
                <w:bCs/>
                <w:sz w:val="24"/>
                <w:szCs w:val="24"/>
              </w:rPr>
            </w:pPr>
            <w:r>
              <w:rPr>
                <w:b/>
                <w:bCs/>
                <w:color w:val="000000"/>
                <w:sz w:val="24"/>
                <w:szCs w:val="24"/>
              </w:rPr>
              <w:t>Yes</w:t>
            </w:r>
          </w:p>
        </w:tc>
        <w:tc>
          <w:tcPr>
            <w:tcW w:w="107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538C5E34" w14:textId="77777777" w:rsidR="004F4F67" w:rsidRDefault="004F4F67">
            <w:pPr>
              <w:jc w:val="center"/>
              <w:rPr>
                <w:b/>
                <w:bCs/>
                <w:sz w:val="24"/>
                <w:szCs w:val="24"/>
              </w:rPr>
            </w:pPr>
            <w:r>
              <w:rPr>
                <w:b/>
                <w:bCs/>
                <w:color w:val="000000"/>
                <w:sz w:val="24"/>
                <w:szCs w:val="24"/>
              </w:rPr>
              <w:t>Yes</w:t>
            </w:r>
          </w:p>
        </w:tc>
        <w:tc>
          <w:tcPr>
            <w:tcW w:w="1258"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4B06D0B9" w14:textId="77777777" w:rsidR="004F4F67" w:rsidRDefault="004F4F67">
            <w:pPr>
              <w:jc w:val="center"/>
              <w:rPr>
                <w:b/>
                <w:bCs/>
                <w:sz w:val="24"/>
                <w:szCs w:val="24"/>
              </w:rPr>
            </w:pPr>
            <w:r>
              <w:rPr>
                <w:b/>
                <w:bCs/>
                <w:color w:val="000000"/>
                <w:sz w:val="24"/>
                <w:szCs w:val="24"/>
              </w:rPr>
              <w:t>Yes</w:t>
            </w:r>
          </w:p>
        </w:tc>
        <w:tc>
          <w:tcPr>
            <w:tcW w:w="109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5F822F42" w14:textId="77777777" w:rsidR="004F4F67" w:rsidRDefault="004F4F67">
            <w:pPr>
              <w:jc w:val="center"/>
              <w:rPr>
                <w:b/>
                <w:bCs/>
                <w:sz w:val="24"/>
                <w:szCs w:val="24"/>
              </w:rPr>
            </w:pPr>
            <w:r>
              <w:rPr>
                <w:b/>
                <w:bCs/>
                <w:color w:val="000000"/>
                <w:sz w:val="24"/>
                <w:szCs w:val="24"/>
              </w:rPr>
              <w:t>Yes</w:t>
            </w:r>
          </w:p>
        </w:tc>
        <w:tc>
          <w:tcPr>
            <w:tcW w:w="109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205BDFF4" w14:textId="77777777" w:rsidR="004F4F67" w:rsidRDefault="004F4F67">
            <w:pPr>
              <w:jc w:val="center"/>
              <w:rPr>
                <w:b/>
                <w:bCs/>
                <w:sz w:val="24"/>
                <w:szCs w:val="24"/>
              </w:rPr>
            </w:pPr>
            <w:r>
              <w:rPr>
                <w:b/>
                <w:bCs/>
                <w:color w:val="000000"/>
                <w:sz w:val="24"/>
                <w:szCs w:val="24"/>
              </w:rPr>
              <w:t>Yes</w:t>
            </w:r>
          </w:p>
        </w:tc>
        <w:tc>
          <w:tcPr>
            <w:tcW w:w="1271"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7FAB5978" w14:textId="77777777" w:rsidR="004F4F67" w:rsidRDefault="004F4F67">
            <w:pPr>
              <w:jc w:val="center"/>
              <w:rPr>
                <w:b/>
                <w:bCs/>
                <w:sz w:val="24"/>
                <w:szCs w:val="24"/>
              </w:rPr>
            </w:pPr>
            <w:r>
              <w:rPr>
                <w:b/>
                <w:bCs/>
                <w:color w:val="000000"/>
                <w:sz w:val="24"/>
                <w:szCs w:val="24"/>
              </w:rPr>
              <w:t>Yes</w:t>
            </w:r>
          </w:p>
        </w:tc>
      </w:tr>
      <w:tr w:rsidR="004F4F67" w14:paraId="6145DBBF" w14:textId="77777777" w:rsidTr="004F4F67">
        <w:trPr>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5E0B8" w14:textId="77777777" w:rsidR="004F4F67" w:rsidRDefault="004F4F67">
            <w:pPr>
              <w:jc w:val="center"/>
              <w:rPr>
                <w:sz w:val="24"/>
                <w:szCs w:val="24"/>
              </w:rPr>
            </w:pPr>
            <w:r>
              <w:rPr>
                <w:b/>
                <w:bCs/>
              </w:rPr>
              <w:t>Portability</w:t>
            </w:r>
          </w:p>
        </w:tc>
        <w:tc>
          <w:tcPr>
            <w:tcW w:w="1030"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51DAB0CF" w14:textId="77777777" w:rsidR="004F4F67" w:rsidRDefault="004F4F67">
            <w:pPr>
              <w:jc w:val="center"/>
              <w:rPr>
                <w:b/>
                <w:bCs/>
                <w:sz w:val="24"/>
                <w:szCs w:val="24"/>
              </w:rPr>
            </w:pPr>
            <w:r>
              <w:rPr>
                <w:b/>
                <w:bCs/>
                <w:color w:val="000000"/>
                <w:sz w:val="24"/>
                <w:szCs w:val="24"/>
              </w:rPr>
              <w:t>Yes</w:t>
            </w:r>
          </w:p>
        </w:tc>
        <w:tc>
          <w:tcPr>
            <w:tcW w:w="107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4DBDD75B" w14:textId="77777777" w:rsidR="004F4F67" w:rsidRDefault="004F4F67">
            <w:pPr>
              <w:jc w:val="center"/>
              <w:rPr>
                <w:b/>
                <w:bCs/>
                <w:sz w:val="24"/>
                <w:szCs w:val="24"/>
              </w:rPr>
            </w:pPr>
            <w:r>
              <w:rPr>
                <w:b/>
                <w:bCs/>
                <w:color w:val="000000"/>
                <w:sz w:val="24"/>
                <w:szCs w:val="24"/>
              </w:rPr>
              <w:t>Yes</w:t>
            </w:r>
          </w:p>
        </w:tc>
        <w:tc>
          <w:tcPr>
            <w:tcW w:w="1258"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06FB95F4" w14:textId="77777777" w:rsidR="004F4F67" w:rsidRDefault="004F4F67">
            <w:pPr>
              <w:jc w:val="center"/>
              <w:rPr>
                <w:b/>
                <w:bCs/>
                <w:sz w:val="24"/>
                <w:szCs w:val="24"/>
              </w:rPr>
            </w:pPr>
            <w:r>
              <w:rPr>
                <w:b/>
                <w:bCs/>
                <w:color w:val="000000"/>
                <w:sz w:val="24"/>
                <w:szCs w:val="24"/>
              </w:rPr>
              <w:t>No</w:t>
            </w:r>
          </w:p>
        </w:tc>
        <w:tc>
          <w:tcPr>
            <w:tcW w:w="1094"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7CB46796" w14:textId="77777777" w:rsidR="004F4F67" w:rsidRDefault="004F4F67">
            <w:pPr>
              <w:jc w:val="center"/>
              <w:rPr>
                <w:b/>
                <w:bCs/>
                <w:sz w:val="24"/>
                <w:szCs w:val="24"/>
              </w:rPr>
            </w:pPr>
            <w:r>
              <w:rPr>
                <w:b/>
                <w:bCs/>
                <w:color w:val="000000"/>
                <w:sz w:val="24"/>
                <w:szCs w:val="24"/>
              </w:rPr>
              <w:t>No</w:t>
            </w:r>
          </w:p>
        </w:tc>
        <w:tc>
          <w:tcPr>
            <w:tcW w:w="1094"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2FF6DD4E" w14:textId="77777777" w:rsidR="004F4F67" w:rsidRDefault="004F4F67">
            <w:pPr>
              <w:jc w:val="center"/>
              <w:rPr>
                <w:b/>
                <w:bCs/>
                <w:sz w:val="24"/>
                <w:szCs w:val="24"/>
              </w:rPr>
            </w:pPr>
            <w:r>
              <w:rPr>
                <w:b/>
                <w:bCs/>
                <w:color w:val="000000"/>
                <w:sz w:val="24"/>
                <w:szCs w:val="24"/>
              </w:rPr>
              <w:t>No</w:t>
            </w:r>
          </w:p>
        </w:tc>
        <w:tc>
          <w:tcPr>
            <w:tcW w:w="1271"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2C94BDE6" w14:textId="77777777" w:rsidR="004F4F67" w:rsidRDefault="004F4F67">
            <w:pPr>
              <w:jc w:val="center"/>
              <w:rPr>
                <w:b/>
                <w:bCs/>
                <w:sz w:val="24"/>
                <w:szCs w:val="24"/>
              </w:rPr>
            </w:pPr>
            <w:r>
              <w:rPr>
                <w:b/>
                <w:bCs/>
                <w:color w:val="000000"/>
                <w:sz w:val="24"/>
                <w:szCs w:val="24"/>
              </w:rPr>
              <w:t>No</w:t>
            </w:r>
          </w:p>
        </w:tc>
      </w:tr>
      <w:tr w:rsidR="004F4F67" w14:paraId="08A809E0" w14:textId="77777777" w:rsidTr="004F4F67">
        <w:trPr>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C1B42" w14:textId="77777777" w:rsidR="004F4F67" w:rsidRDefault="004F4F67">
            <w:pPr>
              <w:jc w:val="center"/>
              <w:rPr>
                <w:sz w:val="24"/>
                <w:szCs w:val="24"/>
              </w:rPr>
            </w:pPr>
            <w:r>
              <w:rPr>
                <w:b/>
                <w:bCs/>
              </w:rPr>
              <w:t>Object</w:t>
            </w:r>
          </w:p>
        </w:tc>
        <w:tc>
          <w:tcPr>
            <w:tcW w:w="1030"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7B7E89E4" w14:textId="77777777" w:rsidR="004F4F67" w:rsidRDefault="004F4F67">
            <w:pPr>
              <w:jc w:val="center"/>
              <w:rPr>
                <w:b/>
                <w:bCs/>
                <w:sz w:val="24"/>
                <w:szCs w:val="24"/>
              </w:rPr>
            </w:pPr>
            <w:r>
              <w:rPr>
                <w:b/>
                <w:bCs/>
                <w:color w:val="000000"/>
                <w:sz w:val="24"/>
                <w:szCs w:val="24"/>
              </w:rPr>
              <w:t>No</w:t>
            </w:r>
          </w:p>
        </w:tc>
        <w:tc>
          <w:tcPr>
            <w:tcW w:w="1072"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407CE4A4" w14:textId="77777777" w:rsidR="004F4F67" w:rsidRDefault="004F4F67">
            <w:pPr>
              <w:jc w:val="center"/>
              <w:rPr>
                <w:b/>
                <w:bCs/>
                <w:sz w:val="24"/>
                <w:szCs w:val="24"/>
              </w:rPr>
            </w:pPr>
            <w:r>
              <w:rPr>
                <w:b/>
                <w:bCs/>
                <w:color w:val="000000"/>
                <w:sz w:val="24"/>
                <w:szCs w:val="24"/>
              </w:rPr>
              <w:t>No</w:t>
            </w:r>
          </w:p>
        </w:tc>
        <w:tc>
          <w:tcPr>
            <w:tcW w:w="1258"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125C4850" w14:textId="77777777" w:rsidR="004F4F67" w:rsidRDefault="004F4F67">
            <w:pPr>
              <w:jc w:val="center"/>
              <w:rPr>
                <w:b/>
                <w:bCs/>
                <w:sz w:val="24"/>
                <w:szCs w:val="24"/>
              </w:rPr>
            </w:pPr>
            <w:r>
              <w:rPr>
                <w:b/>
                <w:bCs/>
                <w:color w:val="000000"/>
                <w:sz w:val="24"/>
                <w:szCs w:val="24"/>
              </w:rPr>
              <w:t>No</w:t>
            </w:r>
          </w:p>
        </w:tc>
        <w:tc>
          <w:tcPr>
            <w:tcW w:w="1094"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794EEBA4" w14:textId="77777777" w:rsidR="004F4F67" w:rsidRDefault="004F4F67">
            <w:pPr>
              <w:jc w:val="center"/>
              <w:rPr>
                <w:b/>
                <w:bCs/>
                <w:sz w:val="24"/>
                <w:szCs w:val="24"/>
              </w:rPr>
            </w:pPr>
            <w:r>
              <w:rPr>
                <w:b/>
                <w:bCs/>
                <w:color w:val="000000"/>
                <w:sz w:val="24"/>
                <w:szCs w:val="24"/>
              </w:rPr>
              <w:t>No</w:t>
            </w:r>
          </w:p>
        </w:tc>
        <w:tc>
          <w:tcPr>
            <w:tcW w:w="109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63B2F6D3" w14:textId="77777777" w:rsidR="004F4F67" w:rsidRDefault="004F4F67">
            <w:pPr>
              <w:jc w:val="center"/>
              <w:rPr>
                <w:b/>
                <w:bCs/>
                <w:sz w:val="24"/>
                <w:szCs w:val="24"/>
              </w:rPr>
            </w:pPr>
            <w:r>
              <w:rPr>
                <w:b/>
                <w:bCs/>
                <w:color w:val="000000"/>
                <w:sz w:val="24"/>
                <w:szCs w:val="24"/>
              </w:rPr>
              <w:t>Yes</w:t>
            </w:r>
          </w:p>
        </w:tc>
        <w:tc>
          <w:tcPr>
            <w:tcW w:w="1271"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63B3ED6B" w14:textId="77777777" w:rsidR="004F4F67" w:rsidRDefault="004F4F67">
            <w:pPr>
              <w:jc w:val="center"/>
              <w:rPr>
                <w:b/>
                <w:bCs/>
                <w:sz w:val="24"/>
                <w:szCs w:val="24"/>
              </w:rPr>
            </w:pPr>
            <w:r>
              <w:rPr>
                <w:b/>
                <w:bCs/>
                <w:color w:val="000000"/>
                <w:sz w:val="24"/>
                <w:szCs w:val="24"/>
              </w:rPr>
              <w:t>Yes</w:t>
            </w:r>
          </w:p>
        </w:tc>
      </w:tr>
      <w:tr w:rsidR="004F4F67" w14:paraId="2B9100EB" w14:textId="77777777" w:rsidTr="004F4F67">
        <w:trPr>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F8E59" w14:textId="77777777" w:rsidR="004F4F67" w:rsidRDefault="004F4F67">
            <w:pPr>
              <w:jc w:val="center"/>
              <w:rPr>
                <w:sz w:val="24"/>
                <w:szCs w:val="24"/>
              </w:rPr>
            </w:pPr>
            <w:r>
              <w:rPr>
                <w:b/>
                <w:bCs/>
              </w:rPr>
              <w:t>Automated Decisions</w:t>
            </w:r>
          </w:p>
        </w:tc>
        <w:tc>
          <w:tcPr>
            <w:tcW w:w="1030"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6B54BA1B" w14:textId="77777777" w:rsidR="004F4F67" w:rsidRDefault="004F4F67">
            <w:pPr>
              <w:jc w:val="center"/>
              <w:rPr>
                <w:b/>
                <w:bCs/>
                <w:sz w:val="24"/>
                <w:szCs w:val="24"/>
              </w:rPr>
            </w:pPr>
            <w:r>
              <w:rPr>
                <w:b/>
                <w:bCs/>
                <w:color w:val="000000"/>
                <w:sz w:val="24"/>
                <w:szCs w:val="24"/>
              </w:rPr>
              <w:t>Yes</w:t>
            </w:r>
          </w:p>
        </w:tc>
        <w:tc>
          <w:tcPr>
            <w:tcW w:w="107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2C748C7B" w14:textId="77777777" w:rsidR="004F4F67" w:rsidRDefault="004F4F67">
            <w:pPr>
              <w:jc w:val="center"/>
              <w:rPr>
                <w:b/>
                <w:bCs/>
                <w:sz w:val="24"/>
                <w:szCs w:val="24"/>
              </w:rPr>
            </w:pPr>
            <w:r>
              <w:rPr>
                <w:b/>
                <w:bCs/>
                <w:color w:val="000000"/>
                <w:sz w:val="24"/>
                <w:szCs w:val="24"/>
              </w:rPr>
              <w:t>Yes</w:t>
            </w:r>
          </w:p>
        </w:tc>
        <w:tc>
          <w:tcPr>
            <w:tcW w:w="1258"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0E3E091A" w14:textId="77777777" w:rsidR="004F4F67" w:rsidRDefault="004F4F67">
            <w:pPr>
              <w:jc w:val="center"/>
              <w:rPr>
                <w:b/>
                <w:bCs/>
                <w:sz w:val="24"/>
                <w:szCs w:val="24"/>
              </w:rPr>
            </w:pPr>
            <w:r>
              <w:rPr>
                <w:b/>
                <w:bCs/>
                <w:color w:val="000000"/>
                <w:sz w:val="24"/>
                <w:szCs w:val="24"/>
              </w:rPr>
              <w:t>Yes</w:t>
            </w:r>
          </w:p>
        </w:tc>
        <w:tc>
          <w:tcPr>
            <w:tcW w:w="109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7CEFE9AE" w14:textId="77777777" w:rsidR="004F4F67" w:rsidRDefault="004F4F67">
            <w:pPr>
              <w:jc w:val="center"/>
              <w:rPr>
                <w:b/>
                <w:bCs/>
                <w:sz w:val="24"/>
                <w:szCs w:val="24"/>
              </w:rPr>
            </w:pPr>
            <w:r>
              <w:rPr>
                <w:b/>
                <w:bCs/>
                <w:color w:val="000000"/>
                <w:sz w:val="24"/>
                <w:szCs w:val="24"/>
              </w:rPr>
              <w:t>Yes</w:t>
            </w:r>
          </w:p>
        </w:tc>
        <w:tc>
          <w:tcPr>
            <w:tcW w:w="109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1AE4C41B" w14:textId="77777777" w:rsidR="004F4F67" w:rsidRDefault="004F4F67">
            <w:pPr>
              <w:jc w:val="center"/>
              <w:rPr>
                <w:b/>
                <w:bCs/>
                <w:sz w:val="24"/>
                <w:szCs w:val="24"/>
              </w:rPr>
            </w:pPr>
            <w:r>
              <w:rPr>
                <w:b/>
                <w:bCs/>
                <w:color w:val="000000"/>
                <w:sz w:val="24"/>
                <w:szCs w:val="24"/>
              </w:rPr>
              <w:t>Yes</w:t>
            </w:r>
          </w:p>
        </w:tc>
        <w:tc>
          <w:tcPr>
            <w:tcW w:w="1271"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5543F814" w14:textId="77777777" w:rsidR="004F4F67" w:rsidRDefault="004F4F67">
            <w:pPr>
              <w:jc w:val="center"/>
              <w:rPr>
                <w:b/>
                <w:bCs/>
                <w:sz w:val="24"/>
                <w:szCs w:val="24"/>
              </w:rPr>
            </w:pPr>
            <w:r>
              <w:rPr>
                <w:b/>
                <w:bCs/>
                <w:color w:val="000000"/>
                <w:sz w:val="24"/>
                <w:szCs w:val="24"/>
              </w:rPr>
              <w:t>Yes</w:t>
            </w:r>
          </w:p>
        </w:tc>
      </w:tr>
      <w:tr w:rsidR="004F4F67" w14:paraId="4B9595BF" w14:textId="77777777" w:rsidTr="004F4F67">
        <w:trPr>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CEF31" w14:textId="77777777" w:rsidR="004F4F67" w:rsidRDefault="004F4F67">
            <w:pPr>
              <w:jc w:val="center"/>
              <w:rPr>
                <w:b/>
                <w:bCs/>
              </w:rPr>
            </w:pPr>
            <w:r>
              <w:rPr>
                <w:b/>
                <w:bCs/>
              </w:rPr>
              <w:t>Withdraw Consent</w:t>
            </w:r>
          </w:p>
        </w:tc>
        <w:tc>
          <w:tcPr>
            <w:tcW w:w="1030"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14:paraId="5AD11100" w14:textId="77777777" w:rsidR="004F4F67" w:rsidRDefault="004F4F67">
            <w:pPr>
              <w:jc w:val="center"/>
              <w:rPr>
                <w:b/>
                <w:bCs/>
                <w:sz w:val="24"/>
                <w:szCs w:val="24"/>
              </w:rPr>
            </w:pPr>
            <w:r>
              <w:rPr>
                <w:b/>
                <w:bCs/>
                <w:color w:val="000000"/>
                <w:sz w:val="24"/>
                <w:szCs w:val="24"/>
              </w:rPr>
              <w:t>Yes</w:t>
            </w:r>
          </w:p>
        </w:tc>
        <w:tc>
          <w:tcPr>
            <w:tcW w:w="1072"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218623EA" w14:textId="77777777" w:rsidR="004F4F67" w:rsidRDefault="004F4F67">
            <w:pPr>
              <w:jc w:val="center"/>
              <w:rPr>
                <w:b/>
                <w:bCs/>
                <w:sz w:val="24"/>
                <w:szCs w:val="24"/>
              </w:rPr>
            </w:pPr>
            <w:r>
              <w:rPr>
                <w:b/>
                <w:bCs/>
                <w:color w:val="000000"/>
                <w:sz w:val="24"/>
                <w:szCs w:val="24"/>
              </w:rPr>
              <w:t>No</w:t>
            </w:r>
          </w:p>
        </w:tc>
        <w:tc>
          <w:tcPr>
            <w:tcW w:w="1258"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321C859A" w14:textId="77777777" w:rsidR="004F4F67" w:rsidRDefault="004F4F67">
            <w:pPr>
              <w:jc w:val="center"/>
              <w:rPr>
                <w:b/>
                <w:bCs/>
                <w:sz w:val="24"/>
                <w:szCs w:val="24"/>
              </w:rPr>
            </w:pPr>
            <w:r>
              <w:rPr>
                <w:b/>
                <w:bCs/>
                <w:color w:val="000000"/>
                <w:sz w:val="24"/>
                <w:szCs w:val="24"/>
              </w:rPr>
              <w:t>No</w:t>
            </w:r>
          </w:p>
        </w:tc>
        <w:tc>
          <w:tcPr>
            <w:tcW w:w="1094"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0B3E2443" w14:textId="77777777" w:rsidR="004F4F67" w:rsidRDefault="004F4F67">
            <w:pPr>
              <w:jc w:val="center"/>
              <w:rPr>
                <w:b/>
                <w:bCs/>
                <w:sz w:val="24"/>
                <w:szCs w:val="24"/>
              </w:rPr>
            </w:pPr>
            <w:r>
              <w:rPr>
                <w:b/>
                <w:bCs/>
                <w:color w:val="000000"/>
                <w:sz w:val="24"/>
                <w:szCs w:val="24"/>
              </w:rPr>
              <w:t>No</w:t>
            </w:r>
          </w:p>
        </w:tc>
        <w:tc>
          <w:tcPr>
            <w:tcW w:w="1094"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6A01E478" w14:textId="77777777" w:rsidR="004F4F67" w:rsidRDefault="004F4F67">
            <w:pPr>
              <w:jc w:val="center"/>
              <w:rPr>
                <w:b/>
                <w:bCs/>
                <w:sz w:val="24"/>
                <w:szCs w:val="24"/>
              </w:rPr>
            </w:pPr>
            <w:r>
              <w:rPr>
                <w:b/>
                <w:bCs/>
                <w:color w:val="000000"/>
                <w:sz w:val="24"/>
                <w:szCs w:val="24"/>
              </w:rPr>
              <w:t>No</w:t>
            </w:r>
          </w:p>
        </w:tc>
        <w:tc>
          <w:tcPr>
            <w:tcW w:w="1271" w:type="dxa"/>
            <w:tcBorders>
              <w:top w:val="nil"/>
              <w:left w:val="nil"/>
              <w:bottom w:val="single" w:sz="8" w:space="0" w:color="auto"/>
              <w:right w:val="single" w:sz="8" w:space="0" w:color="auto"/>
            </w:tcBorders>
            <w:shd w:val="clear" w:color="auto" w:fill="E7778A"/>
            <w:tcMar>
              <w:top w:w="0" w:type="dxa"/>
              <w:left w:w="108" w:type="dxa"/>
              <w:bottom w:w="0" w:type="dxa"/>
              <w:right w:w="108" w:type="dxa"/>
            </w:tcMar>
            <w:hideMark/>
          </w:tcPr>
          <w:p w14:paraId="65A6D065" w14:textId="77777777" w:rsidR="004F4F67" w:rsidRDefault="004F4F67">
            <w:pPr>
              <w:jc w:val="center"/>
              <w:rPr>
                <w:b/>
                <w:bCs/>
                <w:sz w:val="24"/>
                <w:szCs w:val="24"/>
              </w:rPr>
            </w:pPr>
            <w:r>
              <w:rPr>
                <w:b/>
                <w:bCs/>
                <w:color w:val="000000"/>
                <w:sz w:val="24"/>
                <w:szCs w:val="24"/>
              </w:rPr>
              <w:t>No</w:t>
            </w:r>
          </w:p>
        </w:tc>
      </w:tr>
    </w:tbl>
    <w:p w14:paraId="449E9F2C" w14:textId="77777777" w:rsidR="004F4F67" w:rsidRPr="006C44C5" w:rsidRDefault="004F4F67" w:rsidP="006C44C5"/>
    <w:p w14:paraId="144D2C36" w14:textId="77777777" w:rsidR="006C44C5" w:rsidRPr="006C44C5" w:rsidRDefault="006C44C5" w:rsidP="006C44C5">
      <w:pPr>
        <w:pStyle w:val="ListParagraph"/>
        <w:keepNext/>
        <w:keepLines/>
        <w:numPr>
          <w:ilvl w:val="0"/>
          <w:numId w:val="18"/>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38" w:name="_Toc144717606"/>
      <w:bookmarkEnd w:id="38"/>
    </w:p>
    <w:p w14:paraId="6FA5C332" w14:textId="77777777" w:rsidR="006C44C5" w:rsidRPr="006C44C5" w:rsidRDefault="006C44C5" w:rsidP="006C44C5">
      <w:pPr>
        <w:pStyle w:val="ListParagraph"/>
        <w:keepNext/>
        <w:keepLines/>
        <w:numPr>
          <w:ilvl w:val="0"/>
          <w:numId w:val="18"/>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39" w:name="_Toc144717607"/>
      <w:bookmarkEnd w:id="39"/>
    </w:p>
    <w:p w14:paraId="453E3C1E" w14:textId="77777777" w:rsidR="006C44C5" w:rsidRPr="006C44C5" w:rsidRDefault="006C44C5" w:rsidP="006C44C5">
      <w:pPr>
        <w:pStyle w:val="ListParagraph"/>
        <w:keepNext/>
        <w:keepLines/>
        <w:numPr>
          <w:ilvl w:val="0"/>
          <w:numId w:val="18"/>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40" w:name="_Toc144717608"/>
      <w:bookmarkEnd w:id="40"/>
    </w:p>
    <w:p w14:paraId="7F95148D" w14:textId="77777777" w:rsidR="006C44C5" w:rsidRPr="006C44C5" w:rsidRDefault="006C44C5" w:rsidP="006C44C5">
      <w:pPr>
        <w:pStyle w:val="ListParagraph"/>
        <w:keepNext/>
        <w:keepLines/>
        <w:numPr>
          <w:ilvl w:val="0"/>
          <w:numId w:val="18"/>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41" w:name="_Toc144717609"/>
      <w:bookmarkEnd w:id="41"/>
    </w:p>
    <w:p w14:paraId="15425445" w14:textId="77777777" w:rsidR="006C44C5" w:rsidRPr="006C44C5" w:rsidRDefault="006C44C5" w:rsidP="006C44C5">
      <w:pPr>
        <w:pStyle w:val="ListParagraph"/>
        <w:keepNext/>
        <w:keepLines/>
        <w:numPr>
          <w:ilvl w:val="0"/>
          <w:numId w:val="18"/>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42" w:name="_Toc144717610"/>
      <w:bookmarkEnd w:id="42"/>
    </w:p>
    <w:p w14:paraId="2CA79609" w14:textId="77777777" w:rsidR="006C44C5" w:rsidRDefault="008E6DF2" w:rsidP="006C44C5">
      <w:pPr>
        <w:pStyle w:val="Heading2"/>
        <w:numPr>
          <w:ilvl w:val="1"/>
          <w:numId w:val="18"/>
        </w:numPr>
        <w:ind w:left="426" w:hanging="426"/>
      </w:pPr>
      <w:bookmarkStart w:id="43" w:name="_Toc144717611"/>
      <w:r>
        <w:t>The right to be informed</w:t>
      </w:r>
      <w:bookmarkEnd w:id="43"/>
      <w:r>
        <w:t xml:space="preserve"> </w:t>
      </w:r>
    </w:p>
    <w:p w14:paraId="3433AF3D" w14:textId="77777777" w:rsidR="006C44C5" w:rsidRDefault="008E6DF2">
      <w:r>
        <w:t>Individuals have the right to be informed, by being given</w:t>
      </w:r>
      <w:r w:rsidR="00351656">
        <w:t xml:space="preserve"> a</w:t>
      </w:r>
      <w:r w:rsidR="00A06F65">
        <w:t xml:space="preserve"> </w:t>
      </w:r>
      <w:r w:rsidR="006C44C5">
        <w:t>“privacy notice”</w:t>
      </w:r>
      <w:r>
        <w:t xml:space="preserve"> about how organisations will use their personal data, so congregations must be transparent about how and why they are using personal information. This should normally be done through a </w:t>
      </w:r>
      <w:r w:rsidR="00A06F65">
        <w:t>privacy</w:t>
      </w:r>
      <w:r>
        <w:t xml:space="preserve"> notice, although it can also be done orally, for example when taking personal information over the telephone or in person. It is a good idea to document it in writing if this information is given orally.</w:t>
      </w:r>
      <w:r w:rsidR="00A06F65">
        <w:t xml:space="preserve"> It is recommended that privacy notices are published and provided to each individual when their data is collected either by a link to the relevant notice or by providing it in paper format.</w:t>
      </w:r>
      <w:r>
        <w:t xml:space="preserve"> </w:t>
      </w:r>
    </w:p>
    <w:p w14:paraId="352DBC14" w14:textId="77777777" w:rsidR="00A06F65" w:rsidRDefault="00A06F65">
      <w:r>
        <w:t>Privacy</w:t>
      </w:r>
      <w:r w:rsidR="008E6DF2">
        <w:t xml:space="preserve"> notices should include</w:t>
      </w:r>
      <w:r>
        <w:t>:</w:t>
      </w:r>
      <w:r w:rsidR="008E6DF2">
        <w:t xml:space="preserve"> </w:t>
      </w:r>
    </w:p>
    <w:p w14:paraId="36952255" w14:textId="7E85B620" w:rsidR="00A06F65" w:rsidRDefault="00A06F65" w:rsidP="00A06F65">
      <w:pPr>
        <w:pStyle w:val="ListParagraph"/>
        <w:numPr>
          <w:ilvl w:val="0"/>
          <w:numId w:val="21"/>
        </w:numPr>
      </w:pPr>
      <w:r>
        <w:t xml:space="preserve">The </w:t>
      </w:r>
      <w:r w:rsidR="008E6DF2">
        <w:t xml:space="preserve">identity of the congregation, </w:t>
      </w:r>
      <w:r>
        <w:t xml:space="preserve">and the key contact person, normally the Data Protection </w:t>
      </w:r>
      <w:r w:rsidR="00FF6D48">
        <w:t>Co-ordinator</w:t>
      </w:r>
    </w:p>
    <w:p w14:paraId="1252F345" w14:textId="77777777" w:rsidR="00A06F65" w:rsidRDefault="008E6DF2" w:rsidP="00A06F65">
      <w:pPr>
        <w:pStyle w:val="ListParagraph"/>
        <w:numPr>
          <w:ilvl w:val="0"/>
          <w:numId w:val="21"/>
        </w:numPr>
      </w:pPr>
      <w:r>
        <w:t>how it is intend</w:t>
      </w:r>
      <w:r w:rsidR="00A06F65">
        <w:t>ing</w:t>
      </w:r>
      <w:r>
        <w:t xml:space="preserve"> the information will be used</w:t>
      </w:r>
      <w:r w:rsidR="00A06F65">
        <w:t xml:space="preserve"> (i.e. the purpose of processing)</w:t>
      </w:r>
      <w:r>
        <w:t xml:space="preserve">, </w:t>
      </w:r>
    </w:p>
    <w:p w14:paraId="134B501F" w14:textId="77777777" w:rsidR="00A06F65" w:rsidRDefault="00A06F65" w:rsidP="00A06F65">
      <w:pPr>
        <w:pStyle w:val="ListParagraph"/>
        <w:numPr>
          <w:ilvl w:val="0"/>
          <w:numId w:val="21"/>
        </w:numPr>
      </w:pPr>
      <w:r>
        <w:t>what personal data and special category data is collected</w:t>
      </w:r>
    </w:p>
    <w:p w14:paraId="4B4D75A0" w14:textId="77777777" w:rsidR="00A06F65" w:rsidRDefault="00A06F65" w:rsidP="00A06F65">
      <w:pPr>
        <w:pStyle w:val="ListParagraph"/>
        <w:numPr>
          <w:ilvl w:val="0"/>
          <w:numId w:val="21"/>
        </w:numPr>
      </w:pPr>
      <w:r>
        <w:t>what the source of the data is if not directly from the individual (if directly from individual then this section does not need to be included in the notice)</w:t>
      </w:r>
    </w:p>
    <w:p w14:paraId="75A65616" w14:textId="39FEC7B8" w:rsidR="00A06F65" w:rsidRDefault="008E6DF2" w:rsidP="00A06F65">
      <w:pPr>
        <w:pStyle w:val="ListParagraph"/>
        <w:numPr>
          <w:ilvl w:val="0"/>
          <w:numId w:val="21"/>
        </w:numPr>
      </w:pPr>
      <w:r>
        <w:t xml:space="preserve">the </w:t>
      </w:r>
      <w:r w:rsidR="00A06F65">
        <w:t>lawful</w:t>
      </w:r>
      <w:r>
        <w:t xml:space="preserve"> basis for processing the information </w:t>
      </w:r>
    </w:p>
    <w:p w14:paraId="09417777" w14:textId="77777777" w:rsidR="00A06F65" w:rsidRDefault="00A06F65" w:rsidP="00A06F65">
      <w:pPr>
        <w:pStyle w:val="ListParagraph"/>
        <w:numPr>
          <w:ilvl w:val="0"/>
          <w:numId w:val="21"/>
        </w:numPr>
      </w:pPr>
      <w:r>
        <w:lastRenderedPageBreak/>
        <w:t>whether data is shared and if so with whom, (if applicable)</w:t>
      </w:r>
    </w:p>
    <w:p w14:paraId="2F90D23E" w14:textId="77777777" w:rsidR="00A06F65" w:rsidRDefault="00A06F65" w:rsidP="00A06F65">
      <w:pPr>
        <w:pStyle w:val="ListParagraph"/>
        <w:numPr>
          <w:ilvl w:val="0"/>
          <w:numId w:val="21"/>
        </w:numPr>
      </w:pPr>
      <w:r>
        <w:t>whether the data is transferred outside the UK (if applicable)</w:t>
      </w:r>
    </w:p>
    <w:p w14:paraId="61DE6F56" w14:textId="77777777" w:rsidR="00A06F65" w:rsidRDefault="00A06F65" w:rsidP="00A06F65">
      <w:pPr>
        <w:pStyle w:val="ListParagraph"/>
        <w:numPr>
          <w:ilvl w:val="0"/>
          <w:numId w:val="21"/>
        </w:numPr>
      </w:pPr>
      <w:r>
        <w:t>whether any automated individual decision-making, including profiling occurs (if applicable)</w:t>
      </w:r>
    </w:p>
    <w:p w14:paraId="2D6215C7" w14:textId="77777777" w:rsidR="00A06F65" w:rsidRDefault="008E6DF2" w:rsidP="00A06F65">
      <w:pPr>
        <w:pStyle w:val="ListParagraph"/>
        <w:numPr>
          <w:ilvl w:val="0"/>
          <w:numId w:val="21"/>
        </w:numPr>
      </w:pPr>
      <w:r>
        <w:t xml:space="preserve">how long the information will be retained for, </w:t>
      </w:r>
    </w:p>
    <w:p w14:paraId="26EA3D79" w14:textId="77777777" w:rsidR="00A06F65" w:rsidRDefault="00A06F65" w:rsidP="00A06F65">
      <w:pPr>
        <w:pStyle w:val="ListParagraph"/>
        <w:numPr>
          <w:ilvl w:val="0"/>
          <w:numId w:val="21"/>
        </w:numPr>
      </w:pPr>
      <w:r>
        <w:t>what individual rights apply for the processing purpose</w:t>
      </w:r>
    </w:p>
    <w:p w14:paraId="03451E0E" w14:textId="77777777" w:rsidR="00A06F65" w:rsidRDefault="00A06F65" w:rsidP="00A06F65">
      <w:pPr>
        <w:pStyle w:val="ListParagraph"/>
        <w:numPr>
          <w:ilvl w:val="0"/>
          <w:numId w:val="21"/>
        </w:numPr>
      </w:pPr>
      <w:r>
        <w:t>and</w:t>
      </w:r>
      <w:r w:rsidR="008E6DF2">
        <w:t xml:space="preserve"> that individuals have a right to complain to the ICO if they are not happy with how their personal information is being processed. </w:t>
      </w:r>
    </w:p>
    <w:p w14:paraId="0D9EC36D" w14:textId="77777777" w:rsidR="006C44C5" w:rsidRDefault="00A06F65" w:rsidP="00A06F65">
      <w:r>
        <w:t>Privacy notices must be</w:t>
      </w:r>
      <w:r w:rsidR="008E6DF2">
        <w:t xml:space="preserve"> transparent, concise, intelligible and easily accessible. They should be made available using the most appropriate mechanism, which could be in in printed media, through signage (e.g</w:t>
      </w:r>
      <w:r w:rsidR="00F81843">
        <w:t>.</w:t>
      </w:r>
      <w:r w:rsidR="008E6DF2">
        <w:t xml:space="preserve"> a poster) or electronically (on a website or in emails). </w:t>
      </w:r>
    </w:p>
    <w:p w14:paraId="1EBBD2E4" w14:textId="77777777" w:rsidR="006C44C5" w:rsidRDefault="00925915">
      <w:r>
        <w:t xml:space="preserve">Privacy notices should be provided at the point of data collection. </w:t>
      </w:r>
      <w:r w:rsidR="008E6DF2">
        <w:t xml:space="preserve">Congregations need to understand the level of knowledge people have about how their data is collected and what is done with it. If an individual would not reasonably expect what an organisation will do with their information, privacy information must be actively provided rather than simply making it available for them to look for themselves, for example on a website. If it is reasonable for someone to expect that their information will be used for an intended purpose, it is less likely that there will be a need to actively explain it to them. In most cases, it is anticipated that all use of personal data by congregations will be within the reasonable expectation of those providing it, so that it will be legitimate to make privacy information available if they look for it, rather than actively giving it to them. </w:t>
      </w:r>
      <w:r>
        <w:t>However, from a good practice perspective it’s appropriate to ensure any individuals can view the privacy notices when/if they wish to and this is easily achieved by publishing the notices on the website.</w:t>
      </w:r>
    </w:p>
    <w:p w14:paraId="26963857" w14:textId="44420200" w:rsidR="006C44C5" w:rsidRDefault="006C44C5">
      <w:r w:rsidRPr="006C44C5">
        <w:rPr>
          <w:b/>
          <w:u w:val="single"/>
        </w:rPr>
        <w:t>N</w:t>
      </w:r>
      <w:r w:rsidR="008E6DF2" w:rsidRPr="006C44C5">
        <w:rPr>
          <w:b/>
          <w:u w:val="single"/>
        </w:rPr>
        <w:t>OTE:</w:t>
      </w:r>
      <w:r w:rsidR="008E6DF2">
        <w:t xml:space="preserve"> if your congregation has employees, </w:t>
      </w:r>
      <w:r w:rsidR="00925915">
        <w:t>there should be an</w:t>
      </w:r>
      <w:r w:rsidR="008E6DF2">
        <w:t xml:space="preserve"> employee </w:t>
      </w:r>
      <w:r w:rsidR="00925915">
        <w:t>privacy notice specifically detailing what personal data, and special category personal data, is collected for employment purposes,</w:t>
      </w:r>
      <w:r w:rsidR="008E6DF2">
        <w:t xml:space="preserve"> </w:t>
      </w:r>
      <w:r w:rsidR="00925915">
        <w:t>what the lawful basis is, whether it is shared and with whom, for example HMRC for tax purposes, and how long the data is held for. There is a s</w:t>
      </w:r>
      <w:r w:rsidR="008E6DF2">
        <w:t xml:space="preserve">ample privacy notice for use by congregations </w:t>
      </w:r>
      <w:r w:rsidR="00925915">
        <w:t xml:space="preserve">which cover employment privacy notices and a separate one for the data collection of congregations. These sample notices </w:t>
      </w:r>
      <w:r w:rsidR="008E6DF2">
        <w:t>can be found here: Privacy Notice</w:t>
      </w:r>
      <w:r w:rsidR="00C80B21">
        <w:t xml:space="preserve">. </w:t>
      </w:r>
      <w:r w:rsidR="00925915">
        <w:t xml:space="preserve">There is also a template with all the relevant sections that privacy notices have to have and </w:t>
      </w:r>
      <w:r w:rsidR="00C80B21">
        <w:t xml:space="preserve">with </w:t>
      </w:r>
      <w:r w:rsidR="00925915">
        <w:t>drafting notes. This is available here</w:t>
      </w:r>
      <w:r w:rsidR="00C80B21">
        <w:t>.</w:t>
      </w:r>
    </w:p>
    <w:p w14:paraId="6BFC2E54" w14:textId="1CDA3636" w:rsidR="001F2B4A" w:rsidRDefault="008E6DF2" w:rsidP="001F2B4A">
      <w:r w:rsidRPr="006C44C5">
        <w:rPr>
          <w:b/>
          <w:u w:val="single"/>
        </w:rPr>
        <w:t>Note:</w:t>
      </w:r>
      <w:r>
        <w:t xml:space="preserve"> </w:t>
      </w:r>
      <w:r w:rsidR="00925915">
        <w:t xml:space="preserve">It’s important to note that </w:t>
      </w:r>
      <w:r>
        <w:t>privacy notices and consent forms are not the same</w:t>
      </w:r>
      <w:r w:rsidR="00925915">
        <w:t xml:space="preserve"> documents. </w:t>
      </w:r>
      <w:r>
        <w:t>Privacy notices tell individuals how their data will be processed</w:t>
      </w:r>
      <w:r w:rsidR="00925915">
        <w:t xml:space="preserve"> and meet the legal requirement of individuals being fully informed</w:t>
      </w:r>
      <w:r>
        <w:t xml:space="preserve">. They are required </w:t>
      </w:r>
      <w:r w:rsidR="001F2B4A">
        <w:t xml:space="preserve">to inform the individual </w:t>
      </w:r>
      <w:r>
        <w:t xml:space="preserve">what the legal basis for processing is, whether consent or another basis (e.g. legitimate interests). Consent forms are for use only where consent is being used as the legal basis for processing information. </w:t>
      </w:r>
      <w:r w:rsidR="001F2B4A">
        <w:t xml:space="preserve">Consent forms should be used to record the consent of the individual and to keep that record of consent. </w:t>
      </w:r>
    </w:p>
    <w:p w14:paraId="448A4CB8" w14:textId="77777777" w:rsidR="006C44C5" w:rsidRDefault="008E6DF2" w:rsidP="001F2B4A">
      <w:pPr>
        <w:pStyle w:val="Heading2"/>
        <w:numPr>
          <w:ilvl w:val="1"/>
          <w:numId w:val="1"/>
        </w:numPr>
        <w:ind w:left="426" w:hanging="426"/>
      </w:pPr>
      <w:bookmarkStart w:id="44" w:name="_Toc144717612"/>
      <w:r>
        <w:t>The right of access</w:t>
      </w:r>
      <w:bookmarkEnd w:id="44"/>
      <w:r>
        <w:t xml:space="preserve"> </w:t>
      </w:r>
    </w:p>
    <w:p w14:paraId="08AE0098" w14:textId="26FE05AE" w:rsidR="001F2B4A" w:rsidRDefault="006C44C5">
      <w:r>
        <w:t xml:space="preserve">This right </w:t>
      </w:r>
      <w:r w:rsidR="001F2B4A">
        <w:t xml:space="preserve">of access </w:t>
      </w:r>
      <w:r>
        <w:t>basically</w:t>
      </w:r>
      <w:r w:rsidR="008E6DF2">
        <w:t xml:space="preserve"> </w:t>
      </w:r>
      <w:r w:rsidR="00E16C26">
        <w:t xml:space="preserve">provides </w:t>
      </w:r>
      <w:r w:rsidR="008E6DF2">
        <w:t xml:space="preserve">individuals </w:t>
      </w:r>
      <w:r w:rsidR="00E16C26">
        <w:t>with</w:t>
      </w:r>
      <w:r w:rsidR="008E6DF2">
        <w:t xml:space="preserve"> the right to </w:t>
      </w:r>
      <w:r>
        <w:t xml:space="preserve">access </w:t>
      </w:r>
      <w:r w:rsidR="008E6DF2">
        <w:t>a copy of their personal data from the controller, by way of a “subject access request”</w:t>
      </w:r>
      <w:r>
        <w:t xml:space="preserve">, </w:t>
      </w:r>
      <w:r w:rsidR="00C755A6">
        <w:t xml:space="preserve">also </w:t>
      </w:r>
      <w:r>
        <w:t>known as a SAR</w:t>
      </w:r>
      <w:r w:rsidR="008E6DF2">
        <w:t xml:space="preserve">. </w:t>
      </w:r>
      <w:r>
        <w:t xml:space="preserve">Individuals </w:t>
      </w:r>
      <w:r w:rsidR="008E6DF2">
        <w:t>are entitled to receive</w:t>
      </w:r>
      <w:r w:rsidR="001F2B4A">
        <w:t xml:space="preserve"> a copy of</w:t>
      </w:r>
      <w:r w:rsidR="008E6DF2">
        <w:t xml:space="preserve"> </w:t>
      </w:r>
      <w:r>
        <w:t xml:space="preserve">their information </w:t>
      </w:r>
      <w:r w:rsidR="008E6DF2">
        <w:t xml:space="preserve">free of charge and within </w:t>
      </w:r>
      <w:r>
        <w:t>one month of the request being made</w:t>
      </w:r>
      <w:r w:rsidR="008E6DF2">
        <w:t xml:space="preserve">. </w:t>
      </w:r>
      <w:r w:rsidR="001F2B4A">
        <w:t xml:space="preserve">Depending on the request, it may be necessary to clarify the request and also verify the </w:t>
      </w:r>
      <w:r w:rsidR="001F2B4A">
        <w:lastRenderedPageBreak/>
        <w:t>identity of the requestor. It’s important that there is an identity check carried out prior to any disclosure of information to ensure personal data is not disclosed to an unauthorised individual</w:t>
      </w:r>
      <w:r w:rsidR="008856F1">
        <w:t xml:space="preserve">. </w:t>
      </w:r>
      <w:r w:rsidR="00C755A6">
        <w:t xml:space="preserve"> </w:t>
      </w:r>
    </w:p>
    <w:p w14:paraId="16598137" w14:textId="32497188" w:rsidR="001F2B4A" w:rsidRDefault="00C755A6">
      <w:r>
        <w:t>When answering such a request</w:t>
      </w:r>
      <w:r w:rsidR="00050437">
        <w:t>,</w:t>
      </w:r>
      <w:r w:rsidR="00832D99">
        <w:t xml:space="preserve"> individuals should also receive the associated privacy notices in relation to the processing. So, for example, if the individual is a member of the congregation then they should be provided with a copy of the privacy notice, along with the records relating to them. It’s important to note that there are some exemptions to disclosing data under the subject access provisions. This can apply if the data held also contains a third party’s personal data and therefore the data is known as mixed data. There are other exemptions for certain types of information, for example legal advice. In these </w:t>
      </w:r>
      <w:r w:rsidR="00995472">
        <w:t>instances,</w:t>
      </w:r>
      <w:r w:rsidR="00832D99">
        <w:t xml:space="preserve"> advice should be sought from the</w:t>
      </w:r>
      <w:r w:rsidR="004C105D">
        <w:t xml:space="preserve"> </w:t>
      </w:r>
      <w:hyperlink r:id="rId17" w:history="1">
        <w:r w:rsidR="004C105D" w:rsidRPr="004C105D">
          <w:rPr>
            <w:rStyle w:val="Hyperlink"/>
          </w:rPr>
          <w:t>DPO</w:t>
        </w:r>
      </w:hyperlink>
      <w:r w:rsidR="00832D99">
        <w:t xml:space="preserve"> at the National Offices to ensure appropriate redactions are made prior to disclosure.</w:t>
      </w:r>
    </w:p>
    <w:p w14:paraId="02BEE517" w14:textId="7F3D072B" w:rsidR="00832D99" w:rsidRDefault="00832D99">
      <w:r>
        <w:t>It is possible to</w:t>
      </w:r>
      <w:r w:rsidR="008E6DF2">
        <w:t xml:space="preserve"> refuse manifestly unreasonable</w:t>
      </w:r>
      <w:r w:rsidR="006C44C5">
        <w:t xml:space="preserve"> or excessive</w:t>
      </w:r>
      <w:r w:rsidR="008E6DF2">
        <w:t xml:space="preserve"> requests.</w:t>
      </w:r>
      <w:r>
        <w:t xml:space="preserve"> </w:t>
      </w:r>
      <w:r w:rsidR="00995472">
        <w:t>However,</w:t>
      </w:r>
      <w:r>
        <w:t xml:space="preserve"> this has a number of requirements to meet prior to refusing such a request and it is recommended that advice is sought before</w:t>
      </w:r>
      <w:r w:rsidR="005607B2">
        <w:t xml:space="preserve"> doing so</w:t>
      </w:r>
      <w:r>
        <w:t>.</w:t>
      </w:r>
    </w:p>
    <w:p w14:paraId="7067491E" w14:textId="77777777" w:rsidR="006C44C5" w:rsidRDefault="008E6DF2">
      <w:r>
        <w:t xml:space="preserve">If a subject access request is made in connection with a safeguarding matter that should be referred to the Safeguarding Service in the Church Office without delay. </w:t>
      </w:r>
    </w:p>
    <w:p w14:paraId="7FA8601F" w14:textId="77777777" w:rsidR="001F2B4A" w:rsidRDefault="001F2B4A" w:rsidP="001F2B4A">
      <w:pPr>
        <w:pStyle w:val="Heading2"/>
        <w:numPr>
          <w:ilvl w:val="1"/>
          <w:numId w:val="1"/>
        </w:numPr>
        <w:ind w:left="426" w:hanging="426"/>
      </w:pPr>
      <w:bookmarkStart w:id="45" w:name="_Toc144717613"/>
      <w:r>
        <w:t>The right to rectification</w:t>
      </w:r>
      <w:bookmarkEnd w:id="45"/>
    </w:p>
    <w:p w14:paraId="797C78F3" w14:textId="6B3C6988" w:rsidR="006C44C5" w:rsidRDefault="00832D99">
      <w:r>
        <w:t>In</w:t>
      </w:r>
      <w:r w:rsidR="008E6DF2">
        <w:t xml:space="preserve">dividuals have the right to have incorrect </w:t>
      </w:r>
      <w:r>
        <w:t xml:space="preserve">or incomplete </w:t>
      </w:r>
      <w:r w:rsidR="008E6DF2">
        <w:t>data rectified if it is inaccurate or incomplete.</w:t>
      </w:r>
      <w:r>
        <w:t xml:space="preserve"> This right links with Principle 4</w:t>
      </w:r>
      <w:r w:rsidR="005607B2">
        <w:t xml:space="preserve"> - ‘</w:t>
      </w:r>
      <w:r>
        <w:t>Accuracy</w:t>
      </w:r>
      <w:r w:rsidR="005607B2">
        <w:t>’</w:t>
      </w:r>
      <w:r>
        <w:t xml:space="preserve"> </w:t>
      </w:r>
      <w:r w:rsidR="005607B2">
        <w:t xml:space="preserve">- </w:t>
      </w:r>
      <w:r>
        <w:t xml:space="preserve">and highlights the importance of keeping records accurate and up to date. As with all other rights, except for the right to be informed, this right requires the organisation to act within one month in receipt of the request. </w:t>
      </w:r>
    </w:p>
    <w:p w14:paraId="3738ED80" w14:textId="77777777" w:rsidR="001F2B4A" w:rsidRPr="001F2B4A" w:rsidRDefault="001F2B4A" w:rsidP="001F2B4A">
      <w:pPr>
        <w:pStyle w:val="ListParagraph"/>
        <w:keepNext/>
        <w:keepLines/>
        <w:numPr>
          <w:ilvl w:val="1"/>
          <w:numId w:val="18"/>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46" w:name="_Toc144717614"/>
      <w:bookmarkEnd w:id="46"/>
    </w:p>
    <w:p w14:paraId="1DFC1EA5" w14:textId="77777777" w:rsidR="00CE0043" w:rsidRDefault="008E6DF2" w:rsidP="001F2B4A">
      <w:pPr>
        <w:pStyle w:val="Heading2"/>
        <w:numPr>
          <w:ilvl w:val="1"/>
          <w:numId w:val="18"/>
        </w:numPr>
        <w:ind w:left="432"/>
      </w:pPr>
      <w:bookmarkStart w:id="47" w:name="_Toc144717615"/>
      <w:r>
        <w:t>The right to erasure - “right to be forgotten”</w:t>
      </w:r>
      <w:bookmarkEnd w:id="47"/>
      <w:r>
        <w:t xml:space="preserve"> </w:t>
      </w:r>
    </w:p>
    <w:p w14:paraId="6C305CEE" w14:textId="242C4F97" w:rsidR="00CE0043" w:rsidRDefault="008E6DF2">
      <w:r>
        <w:t>This is not an absolute right</w:t>
      </w:r>
      <w:r w:rsidR="005607B2">
        <w:t>.  Whether it applies will depend</w:t>
      </w:r>
      <w:r w:rsidR="004C105D">
        <w:t xml:space="preserve"> </w:t>
      </w:r>
      <w:r w:rsidR="00C853AE">
        <w:t>on the lawful basis of processing</w:t>
      </w:r>
      <w:r>
        <w:t xml:space="preserve">. Individuals have a right to have personal data erased by the controller without undue delay in any of the following circumstances: </w:t>
      </w:r>
    </w:p>
    <w:p w14:paraId="166A111F" w14:textId="77777777" w:rsidR="00CE0043" w:rsidRDefault="008E6DF2" w:rsidP="00CE0043">
      <w:pPr>
        <w:pStyle w:val="ListParagraph"/>
        <w:numPr>
          <w:ilvl w:val="0"/>
          <w:numId w:val="20"/>
        </w:numPr>
      </w:pPr>
      <w:r>
        <w:t xml:space="preserve">the personal data are no longer necessary in relation to the purpose for which they were originally collected/processed. </w:t>
      </w:r>
    </w:p>
    <w:p w14:paraId="7E1F9312" w14:textId="77777777" w:rsidR="00CE0043" w:rsidRDefault="008E6DF2" w:rsidP="00CE0043">
      <w:pPr>
        <w:pStyle w:val="ListParagraph"/>
        <w:numPr>
          <w:ilvl w:val="0"/>
          <w:numId w:val="20"/>
        </w:numPr>
      </w:pPr>
      <w:r>
        <w:t xml:space="preserve">the individual withdraws consent. </w:t>
      </w:r>
    </w:p>
    <w:p w14:paraId="1C5A1E51" w14:textId="77777777" w:rsidR="00CE0043" w:rsidRDefault="008E6DF2" w:rsidP="00CE0043">
      <w:pPr>
        <w:pStyle w:val="ListParagraph"/>
        <w:numPr>
          <w:ilvl w:val="0"/>
          <w:numId w:val="20"/>
        </w:numPr>
      </w:pPr>
      <w:r>
        <w:t xml:space="preserve">the individual objects to the processing and there </w:t>
      </w:r>
      <w:r w:rsidR="00F62DBB">
        <w:t>are</w:t>
      </w:r>
      <w:r>
        <w:t xml:space="preserve"> no overriding legitimate interest</w:t>
      </w:r>
      <w:r w:rsidR="00F62DBB">
        <w:t>s</w:t>
      </w:r>
      <w:r>
        <w:t xml:space="preserve"> for continuing the processing. </w:t>
      </w:r>
    </w:p>
    <w:p w14:paraId="4849B7CE" w14:textId="77777777" w:rsidR="00CE0043" w:rsidRDefault="008E6DF2" w:rsidP="00CE0043">
      <w:pPr>
        <w:pStyle w:val="ListParagraph"/>
        <w:numPr>
          <w:ilvl w:val="0"/>
          <w:numId w:val="20"/>
        </w:numPr>
      </w:pPr>
      <w:r>
        <w:t xml:space="preserve">the personal data are unlawfully processed (i.e. otherwise in breach of the </w:t>
      </w:r>
      <w:r w:rsidR="00832D99">
        <w:t>data protection laws</w:t>
      </w:r>
      <w:r>
        <w:t xml:space="preserve">). </w:t>
      </w:r>
    </w:p>
    <w:p w14:paraId="4F1D4462" w14:textId="77777777" w:rsidR="00CE0043" w:rsidRDefault="008E6DF2" w:rsidP="00CE0043">
      <w:pPr>
        <w:pStyle w:val="ListParagraph"/>
        <w:numPr>
          <w:ilvl w:val="0"/>
          <w:numId w:val="20"/>
        </w:numPr>
      </w:pPr>
      <w:r>
        <w:t xml:space="preserve">the personal data are processed in relation to the offer of information society subjects to a child. </w:t>
      </w:r>
    </w:p>
    <w:p w14:paraId="30D548AE" w14:textId="52F61A5D" w:rsidR="00CE0043" w:rsidRDefault="008E6DF2">
      <w:r>
        <w:t xml:space="preserve">This means that congregations must erase data when an individual </w:t>
      </w:r>
      <w:r w:rsidR="00832D99">
        <w:t>withdraws</w:t>
      </w:r>
      <w:r>
        <w:t xml:space="preserve"> their consent</w:t>
      </w:r>
      <w:r w:rsidR="005607B2">
        <w:t xml:space="preserve"> or</w:t>
      </w:r>
      <w:r>
        <w:t xml:space="preserve"> when the purpose for which the data was collected is complete. However, it does not mean that an individual is necessarily entitled to have data erased on request. If the purposes for which it was collected still exist then the data should not be deleted, unless the legal basis for processing the data was consent – in that event the data will have to be deleted if consent is withdrawn. </w:t>
      </w:r>
    </w:p>
    <w:p w14:paraId="01521654" w14:textId="77777777" w:rsidR="00CE0043" w:rsidRDefault="008E6DF2" w:rsidP="00CE0043">
      <w:pPr>
        <w:pStyle w:val="Heading2"/>
        <w:numPr>
          <w:ilvl w:val="1"/>
          <w:numId w:val="18"/>
        </w:numPr>
        <w:ind w:left="426" w:hanging="426"/>
      </w:pPr>
      <w:bookmarkStart w:id="48" w:name="_Toc144717616"/>
      <w:r>
        <w:lastRenderedPageBreak/>
        <w:t xml:space="preserve">The right </w:t>
      </w:r>
      <w:r w:rsidR="00CE0043">
        <w:t>of</w:t>
      </w:r>
      <w:r>
        <w:t xml:space="preserve"> restriction</w:t>
      </w:r>
      <w:bookmarkEnd w:id="48"/>
      <w:r>
        <w:t xml:space="preserve"> </w:t>
      </w:r>
    </w:p>
    <w:p w14:paraId="452F4332" w14:textId="77777777" w:rsidR="00CE0043" w:rsidRDefault="00050437">
      <w:r>
        <w:t xml:space="preserve">This right links with the other data subject rights. </w:t>
      </w:r>
      <w:r w:rsidR="008E6DF2">
        <w:t>In certain circumstances, such as if an individual considers that their personal data are inaccurate, or if they object to the processing, they may have the right to restrict processing of their personal data</w:t>
      </w:r>
      <w:r>
        <w:t xml:space="preserve"> until the issue is resolved</w:t>
      </w:r>
      <w:r w:rsidR="008E6DF2">
        <w:t>. In such an event the data can continue to be stored but not used</w:t>
      </w:r>
      <w:r>
        <w:t xml:space="preserve"> or </w:t>
      </w:r>
      <w:r w:rsidR="008E6DF2">
        <w:t xml:space="preserve">processed in any </w:t>
      </w:r>
      <w:r>
        <w:t>further</w:t>
      </w:r>
      <w:r w:rsidR="008E6DF2">
        <w:t xml:space="preserve"> way</w:t>
      </w:r>
      <w:r>
        <w:t xml:space="preserve"> until the issues are addressed</w:t>
      </w:r>
      <w:r w:rsidR="008E6DF2">
        <w:t xml:space="preserve">. </w:t>
      </w:r>
      <w:r w:rsidR="008A34DF">
        <w:t xml:space="preserve"> It’s important that the restriction is applied while the other right is fully exercised.</w:t>
      </w:r>
    </w:p>
    <w:p w14:paraId="4131B539" w14:textId="77777777" w:rsidR="00CE0043" w:rsidRDefault="00CE0043" w:rsidP="00CE0043">
      <w:pPr>
        <w:pStyle w:val="Heading2"/>
        <w:numPr>
          <w:ilvl w:val="1"/>
          <w:numId w:val="18"/>
        </w:numPr>
        <w:ind w:left="426" w:hanging="426"/>
      </w:pPr>
      <w:bookmarkStart w:id="49" w:name="_Toc144717617"/>
      <w:r>
        <w:t>Right to data portability</w:t>
      </w:r>
      <w:bookmarkEnd w:id="49"/>
    </w:p>
    <w:p w14:paraId="2B022BC4" w14:textId="626E68B2" w:rsidR="00A00D83" w:rsidRDefault="00050437" w:rsidP="00CE0043">
      <w:r>
        <w:t>The right to data portability will rarely arise in the Church setting. This right means an individual can</w:t>
      </w:r>
      <w:r w:rsidRPr="00050437">
        <w:t xml:space="preserve"> request an organisation </w:t>
      </w:r>
      <w:r w:rsidR="005607B2">
        <w:t xml:space="preserve">to </w:t>
      </w:r>
      <w:r w:rsidRPr="00050437">
        <w:t>provide</w:t>
      </w:r>
      <w:r w:rsidR="005607B2">
        <w:t xml:space="preserve"> an</w:t>
      </w:r>
      <w:r w:rsidRPr="00050437">
        <w:t xml:space="preserve"> </w:t>
      </w:r>
      <w:r>
        <w:t>individual’s</w:t>
      </w:r>
      <w:r w:rsidRPr="00050437">
        <w:t xml:space="preserve"> data in a machine-readable format, e.g. a .csv file and transfer it to </w:t>
      </w:r>
      <w:r w:rsidR="00A00D83">
        <w:t>the data subject or to another organisation to access improved services</w:t>
      </w:r>
      <w:r>
        <w:t>. This right applies more in relation to changing banks or energy suppliers. It only applies to data that the individual has provided to the controller and allows individuals more control over their data to access better services</w:t>
      </w:r>
      <w:r w:rsidR="00A00D83">
        <w:t>. It is unlikely that this right would be exercised in the Church environment.</w:t>
      </w:r>
      <w:r>
        <w:t xml:space="preserve"> </w:t>
      </w:r>
    </w:p>
    <w:p w14:paraId="0D55D2CD" w14:textId="77777777" w:rsidR="00CE0043" w:rsidRDefault="008E6DF2" w:rsidP="00CE0043">
      <w:pPr>
        <w:pStyle w:val="Heading2"/>
        <w:numPr>
          <w:ilvl w:val="1"/>
          <w:numId w:val="18"/>
        </w:numPr>
        <w:ind w:left="426" w:hanging="426"/>
      </w:pPr>
      <w:bookmarkStart w:id="50" w:name="_Toc144717618"/>
      <w:r>
        <w:t>The right to object</w:t>
      </w:r>
      <w:bookmarkEnd w:id="50"/>
      <w:r>
        <w:t xml:space="preserve"> </w:t>
      </w:r>
    </w:p>
    <w:p w14:paraId="3084B8B9" w14:textId="2092696F" w:rsidR="00CE0043" w:rsidRDefault="008E6DF2">
      <w:r>
        <w:t xml:space="preserve">Individuals have the right to object to </w:t>
      </w:r>
      <w:r w:rsidR="00A00D83">
        <w:t xml:space="preserve">the </w:t>
      </w:r>
      <w:r>
        <w:t xml:space="preserve">processing </w:t>
      </w:r>
      <w:r w:rsidR="00A00D83">
        <w:t xml:space="preserve">activity </w:t>
      </w:r>
      <w:r>
        <w:t xml:space="preserve">if they are not satisfied that you have a legal basis for doing so. </w:t>
      </w:r>
      <w:r w:rsidR="00A00D83">
        <w:t xml:space="preserve">The right is not absolute unless the objection is made in relation to marketing. When marketing, the right to object is absolute and the organisation must cease communicating marketing information to the individual. </w:t>
      </w:r>
      <w:r w:rsidR="00995472">
        <w:t xml:space="preserve">In </w:t>
      </w:r>
      <w:r w:rsidR="00F62DBB">
        <w:t>general,</w:t>
      </w:r>
      <w:r w:rsidR="00995472">
        <w:t xml:space="preserve"> the right to object only applies when the lawful basis is on public task/interest or legitimate interests. If the basis is one of these then it will be necessary to consider the objection fully.  </w:t>
      </w:r>
      <w:r>
        <w:t>You must stop processing the personal data unless</w:t>
      </w:r>
      <w:r w:rsidR="005607B2">
        <w:t xml:space="preserve"> you</w:t>
      </w:r>
      <w:r>
        <w:t xml:space="preserve"> can demonstrate compelling legitimate grounds for the processing, which override the interests, rights and freedoms of the individual; or the processing is for the establishment, exercise or defence of legal claims</w:t>
      </w:r>
      <w:r w:rsidR="00995472">
        <w:t>.</w:t>
      </w:r>
    </w:p>
    <w:p w14:paraId="6EAF5829" w14:textId="0D3FE473" w:rsidR="00646696" w:rsidRDefault="008E6DF2">
      <w:r>
        <w:t xml:space="preserve">Individuals must be informed of their right to object “at the point of </w:t>
      </w:r>
      <w:r w:rsidR="00995472">
        <w:t>data collection</w:t>
      </w:r>
      <w:r>
        <w:t xml:space="preserve">” and in privacy notices. </w:t>
      </w:r>
      <w:r w:rsidR="00995472">
        <w:t>This applies to all data subject rights</w:t>
      </w:r>
      <w:r w:rsidR="005607B2">
        <w:t>:</w:t>
      </w:r>
      <w:r w:rsidR="00995472">
        <w:t xml:space="preserve"> they must be fully informed as to what rights apply to the processing and how they can exercise those rights.</w:t>
      </w:r>
    </w:p>
    <w:p w14:paraId="57D61D9F" w14:textId="77777777" w:rsidR="00CE0043" w:rsidRPr="00CE0043" w:rsidRDefault="00CE0043" w:rsidP="00CE0043">
      <w:pPr>
        <w:pStyle w:val="ListParagraph"/>
        <w:keepNext/>
        <w:keepLines/>
        <w:numPr>
          <w:ilvl w:val="0"/>
          <w:numId w:val="19"/>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51" w:name="_Toc144717619"/>
      <w:bookmarkEnd w:id="51"/>
    </w:p>
    <w:p w14:paraId="4C3B38FF" w14:textId="77777777" w:rsidR="00CE0043" w:rsidRPr="00CE0043" w:rsidRDefault="00CE0043" w:rsidP="00CE0043">
      <w:pPr>
        <w:pStyle w:val="ListParagraph"/>
        <w:keepNext/>
        <w:keepLines/>
        <w:numPr>
          <w:ilvl w:val="0"/>
          <w:numId w:val="19"/>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52" w:name="_Toc144717620"/>
      <w:bookmarkEnd w:id="52"/>
    </w:p>
    <w:p w14:paraId="17067F7B" w14:textId="77777777" w:rsidR="00CE0043" w:rsidRPr="00CE0043" w:rsidRDefault="00CE0043" w:rsidP="00CE0043">
      <w:pPr>
        <w:pStyle w:val="ListParagraph"/>
        <w:keepNext/>
        <w:keepLines/>
        <w:numPr>
          <w:ilvl w:val="0"/>
          <w:numId w:val="19"/>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53" w:name="_Toc144717621"/>
      <w:bookmarkEnd w:id="53"/>
    </w:p>
    <w:p w14:paraId="6F555A49" w14:textId="77777777" w:rsidR="00CE0043" w:rsidRPr="00CE0043" w:rsidRDefault="00CE0043" w:rsidP="00CE0043">
      <w:pPr>
        <w:pStyle w:val="ListParagraph"/>
        <w:keepNext/>
        <w:keepLines/>
        <w:numPr>
          <w:ilvl w:val="0"/>
          <w:numId w:val="19"/>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54" w:name="_Toc144717622"/>
      <w:bookmarkEnd w:id="54"/>
    </w:p>
    <w:p w14:paraId="3875A319" w14:textId="77777777" w:rsidR="00CE0043" w:rsidRPr="00CE0043" w:rsidRDefault="00CE0043" w:rsidP="00CE0043">
      <w:pPr>
        <w:pStyle w:val="ListParagraph"/>
        <w:keepNext/>
        <w:keepLines/>
        <w:numPr>
          <w:ilvl w:val="0"/>
          <w:numId w:val="19"/>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55" w:name="_Toc144717623"/>
      <w:bookmarkEnd w:id="55"/>
    </w:p>
    <w:p w14:paraId="13FEC43C" w14:textId="77777777" w:rsidR="00CE0043" w:rsidRPr="00CE0043" w:rsidRDefault="00CE0043" w:rsidP="00CE0043">
      <w:pPr>
        <w:pStyle w:val="ListParagraph"/>
        <w:keepNext/>
        <w:keepLines/>
        <w:numPr>
          <w:ilvl w:val="1"/>
          <w:numId w:val="19"/>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56" w:name="_Toc144717624"/>
      <w:bookmarkEnd w:id="56"/>
    </w:p>
    <w:p w14:paraId="2FBAF695" w14:textId="77777777" w:rsidR="00CE0043" w:rsidRPr="00CE0043" w:rsidRDefault="00CE0043" w:rsidP="00CE0043">
      <w:pPr>
        <w:pStyle w:val="ListParagraph"/>
        <w:keepNext/>
        <w:keepLines/>
        <w:numPr>
          <w:ilvl w:val="1"/>
          <w:numId w:val="19"/>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57" w:name="_Toc144717625"/>
      <w:bookmarkEnd w:id="57"/>
    </w:p>
    <w:p w14:paraId="3292823A" w14:textId="77777777" w:rsidR="00CE0043" w:rsidRPr="00CE0043" w:rsidRDefault="00CE0043" w:rsidP="00CE0043">
      <w:pPr>
        <w:pStyle w:val="ListParagraph"/>
        <w:keepNext/>
        <w:keepLines/>
        <w:numPr>
          <w:ilvl w:val="1"/>
          <w:numId w:val="19"/>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58" w:name="_Toc144717626"/>
      <w:bookmarkEnd w:id="58"/>
    </w:p>
    <w:p w14:paraId="399ACB94" w14:textId="77777777" w:rsidR="00CE0043" w:rsidRPr="00CE0043" w:rsidRDefault="00CE0043" w:rsidP="00CE0043">
      <w:pPr>
        <w:pStyle w:val="ListParagraph"/>
        <w:keepNext/>
        <w:keepLines/>
        <w:numPr>
          <w:ilvl w:val="1"/>
          <w:numId w:val="19"/>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59" w:name="_Toc144717627"/>
      <w:bookmarkEnd w:id="59"/>
    </w:p>
    <w:p w14:paraId="0280C4CF" w14:textId="77777777" w:rsidR="00CE0043" w:rsidRPr="00CE0043" w:rsidRDefault="00CE0043" w:rsidP="00CE0043">
      <w:pPr>
        <w:pStyle w:val="ListParagraph"/>
        <w:keepNext/>
        <w:keepLines/>
        <w:numPr>
          <w:ilvl w:val="1"/>
          <w:numId w:val="19"/>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60" w:name="_Toc144717628"/>
      <w:bookmarkEnd w:id="60"/>
    </w:p>
    <w:p w14:paraId="210AFD16" w14:textId="77777777" w:rsidR="00CE0043" w:rsidRPr="00CE0043" w:rsidRDefault="00CE0043" w:rsidP="00CE0043">
      <w:pPr>
        <w:pStyle w:val="ListParagraph"/>
        <w:keepNext/>
        <w:keepLines/>
        <w:numPr>
          <w:ilvl w:val="1"/>
          <w:numId w:val="19"/>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61" w:name="_Toc144717629"/>
      <w:bookmarkEnd w:id="61"/>
    </w:p>
    <w:p w14:paraId="3D9BFE33" w14:textId="77777777" w:rsidR="00CE0043" w:rsidRDefault="00CE0043" w:rsidP="00CE0043">
      <w:pPr>
        <w:pStyle w:val="Heading2"/>
        <w:numPr>
          <w:ilvl w:val="1"/>
          <w:numId w:val="19"/>
        </w:numPr>
        <w:ind w:left="567" w:hanging="567"/>
      </w:pPr>
      <w:bookmarkStart w:id="62" w:name="_Toc144717630"/>
      <w:r>
        <w:t>Right to be informed of automated individual decision making, including profiling</w:t>
      </w:r>
      <w:bookmarkEnd w:id="62"/>
    </w:p>
    <w:p w14:paraId="2473C6C4" w14:textId="02322C17" w:rsidR="00995472" w:rsidRDefault="00995472" w:rsidP="00995472">
      <w:r>
        <w:t>Individuals have the right to be informed of any automated individual decision-making (</w:t>
      </w:r>
      <w:r w:rsidR="005607B2">
        <w:t xml:space="preserve">i.e. </w:t>
      </w:r>
      <w:r>
        <w:t>the decision is made solely by automated means without any human involvement) and profiling (which is automated processing of personal data to evaluate certain things about an individual). Examples of this include credit reference</w:t>
      </w:r>
      <w:r w:rsidR="004F4F67">
        <w:t>s/scoring, recommendations based on items you’ve bought online etc. There are specific rules around whether this processing is allowed. There are only three lawful bas</w:t>
      </w:r>
      <w:r w:rsidR="005607B2">
        <w:t>e</w:t>
      </w:r>
      <w:r w:rsidR="004F4F67">
        <w:t xml:space="preserve">s which allow it: contract, explicit consent or authorised by law applicable to the controller. If </w:t>
      </w:r>
      <w:r w:rsidR="00F62DBB">
        <w:t>these lawful bases</w:t>
      </w:r>
      <w:r w:rsidR="004F4F67">
        <w:t xml:space="preserve"> don’t apply then this type of processing cannot be carried out.</w:t>
      </w:r>
    </w:p>
    <w:p w14:paraId="089D17B0" w14:textId="77777777" w:rsidR="00995472" w:rsidRPr="00995472" w:rsidRDefault="004F4F67" w:rsidP="00995472">
      <w:r>
        <w:t xml:space="preserve">If you are processing in this way, you need to ensure that individuals are fully informed about the processing, that there are simple processes for the individual to request human intervention or challenge a decision and that checks are carried out regularly to ensure the systems are working as intended. In </w:t>
      </w:r>
      <w:r w:rsidR="00F62DBB">
        <w:t>general,</w:t>
      </w:r>
      <w:r>
        <w:t xml:space="preserve"> the Church does not process data in this way so it’s unlikely that congregations will have to consider this right.</w:t>
      </w:r>
    </w:p>
    <w:p w14:paraId="0DA25D2F" w14:textId="77777777" w:rsidR="00646696" w:rsidRPr="00646696" w:rsidRDefault="00646696" w:rsidP="00646696">
      <w:pPr>
        <w:pStyle w:val="Heading1"/>
        <w:numPr>
          <w:ilvl w:val="0"/>
          <w:numId w:val="1"/>
        </w:numPr>
        <w:rPr>
          <w:b/>
        </w:rPr>
      </w:pPr>
      <w:bookmarkStart w:id="63" w:name="_Toc144717631"/>
      <w:r w:rsidRPr="00646696">
        <w:rPr>
          <w:b/>
        </w:rPr>
        <w:lastRenderedPageBreak/>
        <w:t>Data Security Breach Procedure</w:t>
      </w:r>
      <w:bookmarkEnd w:id="63"/>
      <w:r w:rsidRPr="00646696">
        <w:rPr>
          <w:b/>
        </w:rPr>
        <w:t xml:space="preserve"> </w:t>
      </w:r>
    </w:p>
    <w:p w14:paraId="28DD87ED" w14:textId="029BA8EE" w:rsidR="004517B0" w:rsidRDefault="005607B2">
      <w:r>
        <w:t>A</w:t>
      </w:r>
      <w:r w:rsidR="006534BC">
        <w:t xml:space="preserve"> data breach is defined as </w:t>
      </w:r>
      <w:r w:rsidR="004517B0">
        <w:t>“a breach of security leading to the accidental or unlawful destruction, loss, alteration, unauthorised disclosure of, or access to</w:t>
      </w:r>
      <w:r w:rsidR="008E6DF2">
        <w:t xml:space="preserve"> personal data</w:t>
      </w:r>
      <w:r w:rsidR="004517B0">
        <w:t xml:space="preserve"> transmitted, stored or otherwise processed”</w:t>
      </w:r>
      <w:r w:rsidR="008E6DF2">
        <w:t>. It’s not just losing data; it includes disclosure to the wrong person</w:t>
      </w:r>
      <w:r w:rsidR="00FA3094">
        <w:t xml:space="preserve"> and</w:t>
      </w:r>
      <w:r w:rsidR="004517B0">
        <w:t xml:space="preserve"> alteration of data</w:t>
      </w:r>
      <w:r w:rsidR="008E6DF2">
        <w:t>.</w:t>
      </w:r>
      <w:r w:rsidR="004517B0">
        <w:t xml:space="preserve"> Breaches can be classified</w:t>
      </w:r>
      <w:r w:rsidR="00FA3094">
        <w:t xml:space="preserve"> in three ways</w:t>
      </w:r>
      <w:r w:rsidR="004517B0">
        <w:t>:</w:t>
      </w:r>
    </w:p>
    <w:p w14:paraId="55B45D3F" w14:textId="28AC5EF8" w:rsidR="002917FE" w:rsidRDefault="004517B0" w:rsidP="004517B0">
      <w:pPr>
        <w:pStyle w:val="ListParagraph"/>
        <w:numPr>
          <w:ilvl w:val="0"/>
          <w:numId w:val="26"/>
        </w:numPr>
      </w:pPr>
      <w:r>
        <w:t xml:space="preserve">Confidentiality breach – this is an unauthorised or accidental disclosure of or access to personal data. This is the most common type </w:t>
      </w:r>
      <w:r w:rsidR="00FA3094">
        <w:t xml:space="preserve">of </w:t>
      </w:r>
      <w:r>
        <w:t>breach.</w:t>
      </w:r>
    </w:p>
    <w:p w14:paraId="036A250A" w14:textId="77777777" w:rsidR="004517B0" w:rsidRDefault="004517B0" w:rsidP="004517B0">
      <w:pPr>
        <w:pStyle w:val="ListParagraph"/>
        <w:numPr>
          <w:ilvl w:val="0"/>
          <w:numId w:val="26"/>
        </w:numPr>
      </w:pPr>
      <w:r>
        <w:t>Integrity breach – this is an unauthorised or accidental alteration of personal data</w:t>
      </w:r>
    </w:p>
    <w:p w14:paraId="1A1B9A5F" w14:textId="77777777" w:rsidR="004517B0" w:rsidRDefault="004517B0" w:rsidP="004517B0">
      <w:pPr>
        <w:pStyle w:val="ListParagraph"/>
        <w:numPr>
          <w:ilvl w:val="0"/>
          <w:numId w:val="26"/>
        </w:numPr>
      </w:pPr>
      <w:r>
        <w:t>Availability breach – this is an accidental or unauthorised loss of access to, or destruction of personal data.</w:t>
      </w:r>
    </w:p>
    <w:p w14:paraId="2FFDE8A8" w14:textId="77777777" w:rsidR="004517B0" w:rsidRDefault="004517B0" w:rsidP="004517B0">
      <w:r>
        <w:t xml:space="preserve">Whatever type of breach it is, the key points are to act </w:t>
      </w:r>
      <w:r w:rsidR="00922356">
        <w:t xml:space="preserve">swiftly </w:t>
      </w:r>
      <w:r w:rsidR="0027285F">
        <w:t>to try and contain the breach and if possible recover the data. It is also vital that a breach is reported to the Church’s Data Protection Officer (DPO) quickly to ensure that breaches are reported to the regulator</w:t>
      </w:r>
      <w:r w:rsidR="00C51EEF">
        <w:t>, if necessary,</w:t>
      </w:r>
      <w:r w:rsidR="0027285F">
        <w:t xml:space="preserve"> within 72 hours of the breach being detected. It’s also important to assess the potential impact it could have on the affected individuals</w:t>
      </w:r>
      <w:r w:rsidR="00C51EEF">
        <w:t>. I</w:t>
      </w:r>
      <w:r w:rsidR="0027285F">
        <w:t>f it could cause unwarranted harm and/or distress then the individuals should be informed to enable them to take action to protect themselves. However, it is not always necessary to report to the regulator or to the affected individuals.</w:t>
      </w:r>
    </w:p>
    <w:p w14:paraId="3AD34D13" w14:textId="77777777" w:rsidR="00761315" w:rsidRPr="00761315" w:rsidRDefault="00761315" w:rsidP="00761315">
      <w:pPr>
        <w:pStyle w:val="ListParagraph"/>
        <w:keepNext/>
        <w:keepLines/>
        <w:numPr>
          <w:ilvl w:val="0"/>
          <w:numId w:val="30"/>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14:paraId="574095C9" w14:textId="77777777" w:rsidR="00761315" w:rsidRPr="00761315" w:rsidRDefault="00761315" w:rsidP="00761315">
      <w:pPr>
        <w:pStyle w:val="ListParagraph"/>
        <w:keepNext/>
        <w:keepLines/>
        <w:numPr>
          <w:ilvl w:val="0"/>
          <w:numId w:val="30"/>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14:paraId="63BF2F96" w14:textId="77777777" w:rsidR="00761315" w:rsidRPr="00761315" w:rsidRDefault="00761315" w:rsidP="00761315">
      <w:pPr>
        <w:pStyle w:val="ListParagraph"/>
        <w:keepNext/>
        <w:keepLines/>
        <w:numPr>
          <w:ilvl w:val="0"/>
          <w:numId w:val="30"/>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14:paraId="38917917" w14:textId="77777777" w:rsidR="00761315" w:rsidRPr="00761315" w:rsidRDefault="00761315" w:rsidP="00761315">
      <w:pPr>
        <w:pStyle w:val="ListParagraph"/>
        <w:keepNext/>
        <w:keepLines/>
        <w:numPr>
          <w:ilvl w:val="0"/>
          <w:numId w:val="30"/>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14:paraId="3FDF3AE7" w14:textId="77777777" w:rsidR="00761315" w:rsidRPr="00761315" w:rsidRDefault="00761315" w:rsidP="00761315">
      <w:pPr>
        <w:pStyle w:val="ListParagraph"/>
        <w:keepNext/>
        <w:keepLines/>
        <w:numPr>
          <w:ilvl w:val="0"/>
          <w:numId w:val="30"/>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14:paraId="71E377B2" w14:textId="77777777" w:rsidR="00761315" w:rsidRPr="00761315" w:rsidRDefault="00761315" w:rsidP="00761315">
      <w:pPr>
        <w:pStyle w:val="ListParagraph"/>
        <w:keepNext/>
        <w:keepLines/>
        <w:numPr>
          <w:ilvl w:val="0"/>
          <w:numId w:val="30"/>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14:paraId="3E73E851" w14:textId="77777777" w:rsidR="002917FE" w:rsidRPr="002C5032" w:rsidRDefault="008E6DF2" w:rsidP="00761315">
      <w:pPr>
        <w:pStyle w:val="Heading2"/>
        <w:numPr>
          <w:ilvl w:val="1"/>
          <w:numId w:val="30"/>
        </w:numPr>
        <w:ind w:left="426" w:hanging="426"/>
      </w:pPr>
      <w:r w:rsidRPr="002C5032">
        <w:t xml:space="preserve">What breaches must be reported to the ICO? </w:t>
      </w:r>
    </w:p>
    <w:p w14:paraId="7FA4409E" w14:textId="0172977E" w:rsidR="0027285F" w:rsidRDefault="00FA3094">
      <w:r>
        <w:t>W</w:t>
      </w:r>
      <w:r w:rsidR="008E6DF2">
        <w:t>hen a personal data breach has occurred, the controller must establish the likelihood and severity of the resulting risk to people’s rights and freedoms. If it is likely that there will be a risk then it must be notified to the ICO</w:t>
      </w:r>
      <w:r w:rsidR="0027285F">
        <w:t xml:space="preserve"> within 72 hours. If it is unlikely that there is such a risk then it would not need to be reported to the ICO. If it is decided not to report the breach, this decision should be documented so that it can, if necessary, be justified at a later date. It is important to record a breach, carry out the investigation and assess whether there are any lessons learned which would reduce the risk of the breach occurring again. </w:t>
      </w:r>
    </w:p>
    <w:p w14:paraId="5B4FDB64" w14:textId="77777777" w:rsidR="002917FE" w:rsidRDefault="0027285F">
      <w:r>
        <w:t xml:space="preserve">It is for the controller to decide whether a breach is reportable. However, </w:t>
      </w:r>
      <w:r w:rsidR="008E6DF2">
        <w:t>processor</w:t>
      </w:r>
      <w:r>
        <w:t>s</w:t>
      </w:r>
      <w:r w:rsidR="008E6DF2">
        <w:t xml:space="preserve"> </w:t>
      </w:r>
      <w:r>
        <w:t>are legally</w:t>
      </w:r>
      <w:r w:rsidR="008E6DF2">
        <w:t xml:space="preserve"> required to notify the controller without undue delay after becoming aware of a personal data breach. </w:t>
      </w:r>
    </w:p>
    <w:p w14:paraId="21A07E0C" w14:textId="77777777" w:rsidR="00EA6A36" w:rsidRDefault="00EA6A36" w:rsidP="00EA6A36">
      <w:r>
        <w:t xml:space="preserve">Presbyteries and congregations should have robust breach detection, investigation and internal reporting procedures in place. This will facilitate decision-making about whether or not there is a need to notify the ICO and the affected individual(s). Guidance will also of course be available from the Law Department, specifically the DPO. </w:t>
      </w:r>
    </w:p>
    <w:p w14:paraId="2510495C" w14:textId="77777777" w:rsidR="00EA6A36" w:rsidRDefault="00EA6A36" w:rsidP="00EA6A36">
      <w:r>
        <w:t xml:space="preserve">A record must be kept of any personal data breaches, regardless of whether there is a requirement to notify the ICO or the affected individuals. </w:t>
      </w:r>
    </w:p>
    <w:p w14:paraId="7CDB0E55" w14:textId="77777777" w:rsidR="00C51EEF" w:rsidRPr="002917FE" w:rsidRDefault="00C51EEF" w:rsidP="00761315">
      <w:pPr>
        <w:pStyle w:val="Heading2"/>
        <w:numPr>
          <w:ilvl w:val="1"/>
          <w:numId w:val="30"/>
        </w:numPr>
        <w:ind w:left="426" w:hanging="426"/>
      </w:pPr>
      <w:r w:rsidRPr="002917FE">
        <w:t>What information should be provided when reporting a breach?</w:t>
      </w:r>
    </w:p>
    <w:p w14:paraId="7AC1D0C1" w14:textId="77777777" w:rsidR="00C51EEF" w:rsidRDefault="00C51EEF" w:rsidP="00C51EEF">
      <w:r>
        <w:t xml:space="preserve">When reporting a breach, the following information must be provided (and this can be done in phases, if it is not all available within 72 hours): </w:t>
      </w:r>
    </w:p>
    <w:p w14:paraId="7872824F" w14:textId="77777777" w:rsidR="00C51EEF" w:rsidRDefault="00C51EEF" w:rsidP="00C51EEF">
      <w:pPr>
        <w:pStyle w:val="ListParagraph"/>
        <w:numPr>
          <w:ilvl w:val="0"/>
          <w:numId w:val="25"/>
        </w:numPr>
      </w:pPr>
      <w:r>
        <w:lastRenderedPageBreak/>
        <w:t>a description of the nature of the personal data breach including, where possible, the categories and approximate number of individuals concerned, and the categories and approximate number of personal data records concerned;</w:t>
      </w:r>
    </w:p>
    <w:p w14:paraId="5BFDF6D3" w14:textId="77777777" w:rsidR="00C51EEF" w:rsidRDefault="00C51EEF" w:rsidP="00C51EEF">
      <w:pPr>
        <w:pStyle w:val="ListParagraph"/>
        <w:numPr>
          <w:ilvl w:val="0"/>
          <w:numId w:val="25"/>
        </w:numPr>
      </w:pPr>
      <w:r>
        <w:t xml:space="preserve">the name and contact details of the data protection officer or other contact point where more information can be obtained; </w:t>
      </w:r>
    </w:p>
    <w:p w14:paraId="38F2ECAC" w14:textId="77777777" w:rsidR="00C51EEF" w:rsidRDefault="00C51EEF" w:rsidP="00C51EEF">
      <w:pPr>
        <w:pStyle w:val="ListParagraph"/>
        <w:numPr>
          <w:ilvl w:val="0"/>
          <w:numId w:val="25"/>
        </w:numPr>
      </w:pPr>
      <w:r>
        <w:t xml:space="preserve">a description of the likely consequences of the breach; and </w:t>
      </w:r>
    </w:p>
    <w:p w14:paraId="5A6E4B2A" w14:textId="77777777" w:rsidR="00C51EEF" w:rsidRDefault="00C51EEF" w:rsidP="00C51EEF">
      <w:pPr>
        <w:pStyle w:val="ListParagraph"/>
        <w:numPr>
          <w:ilvl w:val="0"/>
          <w:numId w:val="25"/>
        </w:numPr>
      </w:pPr>
      <w:r>
        <w:t xml:space="preserve">a description of the measures taken, or proposed to be taken, to deal with the breach, including, where appropriate, the measures taken to mitigate any possible adverse effects. </w:t>
      </w:r>
    </w:p>
    <w:p w14:paraId="54466B70" w14:textId="059FD881" w:rsidR="00C51EEF" w:rsidRDefault="00FA3094" w:rsidP="002A160D">
      <w:r>
        <w:t>Y</w:t>
      </w:r>
      <w:r w:rsidR="00C51EEF">
        <w:t xml:space="preserve">ou should use the breach notification form provided within the style data security breach management procedure on the Church website. This should be sent to the </w:t>
      </w:r>
      <w:hyperlink r:id="rId18" w:history="1">
        <w:r w:rsidR="00C51EEF" w:rsidRPr="002A160D">
          <w:rPr>
            <w:rStyle w:val="Hyperlink"/>
          </w:rPr>
          <w:t>Church DPO</w:t>
        </w:r>
      </w:hyperlink>
      <w:r w:rsidR="00C51EEF">
        <w:t xml:space="preserve"> to assist in assessing whether it needs to be reported to ICO</w:t>
      </w:r>
      <w:r>
        <w:t xml:space="preserve"> and if appropriate the DPO will make that report</w:t>
      </w:r>
      <w:r w:rsidR="00C51EEF">
        <w:t xml:space="preserve">. </w:t>
      </w:r>
    </w:p>
    <w:p w14:paraId="74F55246" w14:textId="77777777" w:rsidR="002A160D" w:rsidRDefault="002A160D" w:rsidP="002A160D"/>
    <w:p w14:paraId="2C949815" w14:textId="77777777" w:rsidR="00C51EEF" w:rsidRPr="002917FE" w:rsidRDefault="00C51EEF" w:rsidP="00761315">
      <w:pPr>
        <w:pStyle w:val="Heading2"/>
        <w:numPr>
          <w:ilvl w:val="1"/>
          <w:numId w:val="30"/>
        </w:numPr>
        <w:ind w:left="426" w:hanging="426"/>
      </w:pPr>
      <w:r w:rsidRPr="002917FE">
        <w:t xml:space="preserve">When do we need to tell individuals about a breach? </w:t>
      </w:r>
    </w:p>
    <w:p w14:paraId="5B9B22C9" w14:textId="77777777" w:rsidR="00C51EEF" w:rsidRDefault="00C51EEF">
      <w:r>
        <w:t xml:space="preserve">If a breach is likely to result in a </w:t>
      </w:r>
      <w:r w:rsidRPr="00C51EEF">
        <w:rPr>
          <w:u w:val="single"/>
        </w:rPr>
        <w:t>high risk</w:t>
      </w:r>
      <w:r>
        <w:t xml:space="preserve"> to the rights and freedoms of individuals the controller must communicate the breach to the data subject(s) without undue delay. This is not required if the data is encrypted or there are other controls in place which make the data inaccessible.</w:t>
      </w:r>
    </w:p>
    <w:p w14:paraId="69926BF5" w14:textId="77777777" w:rsidR="00EA6A36" w:rsidRDefault="00EA6A36" w:rsidP="00EA6A36">
      <w:r>
        <w:t xml:space="preserve">‘High risk’ means the threshold for informing individuals is higher than for notifying the ICO. Again, it will be necessary to assess both the severity of the potential or actual impact on individuals as a result of a breach and the likelihood of this occurring. If the impact of the breach is more severe, the risk is higher; if the likelihood of the consequences is greater, then </w:t>
      </w:r>
      <w:r w:rsidR="00F62DBB">
        <w:t>again,</w:t>
      </w:r>
      <w:r>
        <w:t xml:space="preserve"> the risk is higher. In such cases, those affected will have to be informed promptly, particularly if there is a need to mitigate an immediate risk of damage to them. One of the main reasons for informing individuals is to help them take steps to protect themselves from the effects of a breach. </w:t>
      </w:r>
    </w:p>
    <w:p w14:paraId="31448845" w14:textId="77777777" w:rsidR="002917FE" w:rsidRDefault="008E6DF2">
      <w:r>
        <w:t xml:space="preserve">In </w:t>
      </w:r>
      <w:r w:rsidR="00EA6A36">
        <w:t xml:space="preserve">making this assessment </w:t>
      </w:r>
      <w:r>
        <w:t xml:space="preserve">it is important to focus on the potential negative consequences for individuals. This will include any loss of control over personal data, identity theft or fraud, financial loss, damage to reputation, loss of confidentiality or any other significant economic or social disadvantage to the individual. A breach can have a range of adverse effects on individuals, including emotional distress, and physical and material damage. Some breaches will not lead to risks beyond possible inconvenience. Other breaches can significantly affect individuals whose personal data has been compromised. This will need to be assessed on a case by case basis, looking at all relevant factors. </w:t>
      </w:r>
    </w:p>
    <w:p w14:paraId="2D2C98FB" w14:textId="77777777" w:rsidR="00EA6A36" w:rsidRDefault="008E6DF2" w:rsidP="00EA6A36">
      <w:r>
        <w:t>If it is decided not to notify individuals, it will still be necessary to notify the ICO unless it can be demonstrated that the breach is unlikely to result in a risk to</w:t>
      </w:r>
      <w:r w:rsidR="00761315">
        <w:t xml:space="preserve"> the</w:t>
      </w:r>
      <w:r>
        <w:t xml:space="preserve"> rights and freedoms</w:t>
      </w:r>
      <w:r w:rsidR="00761315">
        <w:t xml:space="preserve"> of the affected individuals</w:t>
      </w:r>
      <w:r>
        <w:t xml:space="preserve">. </w:t>
      </w:r>
    </w:p>
    <w:p w14:paraId="22F5ADD3" w14:textId="77777777" w:rsidR="00646696" w:rsidRDefault="008E6DF2" w:rsidP="00EA6A36">
      <w:r>
        <w:t xml:space="preserve">All decision-making should be documented in line with the requirements of the accountability principle. </w:t>
      </w:r>
    </w:p>
    <w:p w14:paraId="461A4CEC" w14:textId="1CBAA96E" w:rsidR="00646696" w:rsidRPr="00646696" w:rsidRDefault="00646696" w:rsidP="00646696">
      <w:pPr>
        <w:pStyle w:val="Heading1"/>
        <w:numPr>
          <w:ilvl w:val="0"/>
          <w:numId w:val="1"/>
        </w:numPr>
        <w:rPr>
          <w:b/>
        </w:rPr>
      </w:pPr>
      <w:bookmarkStart w:id="64" w:name="_Toc144717632"/>
      <w:r w:rsidRPr="00646696">
        <w:rPr>
          <w:b/>
        </w:rPr>
        <w:lastRenderedPageBreak/>
        <w:t xml:space="preserve">Data Protection </w:t>
      </w:r>
      <w:bookmarkEnd w:id="64"/>
      <w:r w:rsidR="002A160D">
        <w:rPr>
          <w:b/>
        </w:rPr>
        <w:t>Co-ordinators</w:t>
      </w:r>
    </w:p>
    <w:p w14:paraId="7A05C855" w14:textId="77777777" w:rsidR="00794574" w:rsidRDefault="008E6DF2">
      <w:r>
        <w:t xml:space="preserve">The </w:t>
      </w:r>
      <w:r w:rsidR="00761315">
        <w:t xml:space="preserve">UK </w:t>
      </w:r>
      <w:r>
        <w:t xml:space="preserve">GDPR makes it a requirement that organisations appoint a </w:t>
      </w:r>
      <w:r w:rsidR="00761315">
        <w:t>D</w:t>
      </w:r>
      <w:r>
        <w:t xml:space="preserve">ata </w:t>
      </w:r>
      <w:r w:rsidR="00761315">
        <w:t>P</w:t>
      </w:r>
      <w:r>
        <w:t xml:space="preserve">rotection </w:t>
      </w:r>
      <w:r w:rsidR="00761315">
        <w:t>O</w:t>
      </w:r>
      <w:r>
        <w:t xml:space="preserve">fficer (DPO) in some circumstances, and contains provisions about the tasks a DPO should carry out and the duties of the employer in respect of the DPO. A DPO must be appointed if an organisation: </w:t>
      </w:r>
    </w:p>
    <w:p w14:paraId="4AE35379" w14:textId="77777777" w:rsidR="00794574" w:rsidRDefault="008E6DF2" w:rsidP="00794574">
      <w:pPr>
        <w:pStyle w:val="ListParagraph"/>
        <w:numPr>
          <w:ilvl w:val="0"/>
          <w:numId w:val="27"/>
        </w:numPr>
      </w:pPr>
      <w:r>
        <w:t>is a public authority;</w:t>
      </w:r>
    </w:p>
    <w:p w14:paraId="0E0626B2" w14:textId="77777777" w:rsidR="00794574" w:rsidRDefault="008E6DF2" w:rsidP="00794574">
      <w:pPr>
        <w:pStyle w:val="ListParagraph"/>
        <w:numPr>
          <w:ilvl w:val="0"/>
          <w:numId w:val="27"/>
        </w:numPr>
      </w:pPr>
      <w:r>
        <w:t xml:space="preserve">carries out large scale systematic monitoring of individuals (for example, online behaviour tracking); or </w:t>
      </w:r>
    </w:p>
    <w:p w14:paraId="1D07370F" w14:textId="77777777" w:rsidR="006B221A" w:rsidRDefault="008E6DF2" w:rsidP="00794574">
      <w:pPr>
        <w:pStyle w:val="ListParagraph"/>
        <w:numPr>
          <w:ilvl w:val="0"/>
          <w:numId w:val="27"/>
        </w:numPr>
      </w:pPr>
      <w:r>
        <w:t xml:space="preserve">carries out large scale processing of special categories of data or data relating to criminal convictions and offences. </w:t>
      </w:r>
    </w:p>
    <w:p w14:paraId="511F9421" w14:textId="77777777" w:rsidR="006B221A" w:rsidRDefault="008E6DF2" w:rsidP="002A160D">
      <w:r>
        <w:t xml:space="preserve">The DPO’s minimum tasks are: </w:t>
      </w:r>
    </w:p>
    <w:p w14:paraId="43828A6F" w14:textId="77777777" w:rsidR="006B221A" w:rsidRDefault="008E6DF2" w:rsidP="006B221A">
      <w:pPr>
        <w:pStyle w:val="ListParagraph"/>
        <w:numPr>
          <w:ilvl w:val="0"/>
          <w:numId w:val="28"/>
        </w:numPr>
      </w:pPr>
      <w:r>
        <w:t xml:space="preserve">To inform and advise the congregation/Presbytery and its members and staff about their obligations to comply with the </w:t>
      </w:r>
      <w:r w:rsidR="00BE0459">
        <w:t>data protection laws</w:t>
      </w:r>
      <w:r>
        <w:t xml:space="preserve">. </w:t>
      </w:r>
    </w:p>
    <w:p w14:paraId="02059301" w14:textId="40ACFAE0" w:rsidR="006B221A" w:rsidRDefault="008E6DF2" w:rsidP="006B221A">
      <w:pPr>
        <w:pStyle w:val="ListParagraph"/>
        <w:numPr>
          <w:ilvl w:val="0"/>
          <w:numId w:val="28"/>
        </w:numPr>
      </w:pPr>
      <w:r>
        <w:t xml:space="preserve">To monitor compliance with </w:t>
      </w:r>
      <w:r w:rsidR="00BE0459">
        <w:t>data protection laws</w:t>
      </w:r>
      <w:r>
        <w:t>, including managing internal data protection activities, train</w:t>
      </w:r>
      <w:r w:rsidR="00BE0459">
        <w:t>ing</w:t>
      </w:r>
      <w:r>
        <w:t xml:space="preserve"> staff</w:t>
      </w:r>
      <w:r w:rsidR="00BE0459">
        <w:t xml:space="preserve"> and members</w:t>
      </w:r>
      <w:r>
        <w:t xml:space="preserve"> and conduct</w:t>
      </w:r>
      <w:r w:rsidR="00481841">
        <w:t>ing</w:t>
      </w:r>
      <w:r>
        <w:t xml:space="preserve"> internal audits. </w:t>
      </w:r>
    </w:p>
    <w:p w14:paraId="2AE53633" w14:textId="6E75DDA2" w:rsidR="00646696" w:rsidRDefault="008E6DF2" w:rsidP="006B221A">
      <w:pPr>
        <w:pStyle w:val="ListParagraph"/>
        <w:numPr>
          <w:ilvl w:val="0"/>
          <w:numId w:val="28"/>
        </w:numPr>
      </w:pPr>
      <w:r>
        <w:t>To be the first point of contact for supervisory authorities</w:t>
      </w:r>
      <w:r w:rsidR="00BE0459">
        <w:t>, i.e. UK Information Commissioner’s Office (ICO)</w:t>
      </w:r>
      <w:r>
        <w:t xml:space="preserve"> and for individuals whose data is processed</w:t>
      </w:r>
      <w:r w:rsidR="00BE0459">
        <w:t xml:space="preserve"> for them to exercise any of their rights and if they have queries in relation to the processing of their data</w:t>
      </w:r>
      <w:r>
        <w:t xml:space="preserve">. </w:t>
      </w:r>
    </w:p>
    <w:p w14:paraId="406D423A" w14:textId="478B7C01" w:rsidR="002A160D" w:rsidRDefault="002A160D" w:rsidP="002A160D">
      <w:r>
        <w:t xml:space="preserve">The third category which may require a DPO to be appointed is the only one which may apply to congregational activities, although it is unlikely that normal processing of “special category data” (e.g. data relating to religious beliefs) in a congregational context would be deemed to be on a “large scale”. Despite this, it would be prudent for the Church at Presbytery and Congregational level to give </w:t>
      </w:r>
      <w:proofErr w:type="gramStart"/>
      <w:r>
        <w:t>one person</w:t>
      </w:r>
      <w:proofErr w:type="gramEnd"/>
      <w:r>
        <w:t xml:space="preserve"> formal responsibility for data protection issues and designate that person as the Data Protection Co-Ordinator. At Presbytery level, this will usually be the Presbytery Clerk, and reflects the current role of the Presbytery Clerk as controller for all of the congregations within the bounds of the Presbytery.  The Data Protection Co-Ordinators can act as the key contact for individuals and ensure the appropriate policies and procedures are in place. The Data Protection Co-Ordinators can seek advice and guidance from the Church’s </w:t>
      </w:r>
      <w:hyperlink r:id="rId19" w:history="1">
        <w:r w:rsidRPr="002A160D">
          <w:rPr>
            <w:rStyle w:val="Hyperlink"/>
          </w:rPr>
          <w:t>DPO</w:t>
        </w:r>
      </w:hyperlink>
      <w:r>
        <w:t>.</w:t>
      </w:r>
    </w:p>
    <w:p w14:paraId="365D1C25" w14:textId="77777777" w:rsidR="00646696" w:rsidRPr="00646696" w:rsidRDefault="00BE0459" w:rsidP="00646696">
      <w:pPr>
        <w:pStyle w:val="Heading1"/>
        <w:numPr>
          <w:ilvl w:val="0"/>
          <w:numId w:val="1"/>
        </w:numPr>
        <w:rPr>
          <w:b/>
        </w:rPr>
      </w:pPr>
      <w:bookmarkStart w:id="65" w:name="_Toc144717633"/>
      <w:r>
        <w:rPr>
          <w:b/>
        </w:rPr>
        <w:t>Notification</w:t>
      </w:r>
      <w:r w:rsidR="00646696" w:rsidRPr="00646696">
        <w:rPr>
          <w:b/>
        </w:rPr>
        <w:t xml:space="preserve"> with the UK Information Commissioner’s Office (ICO)</w:t>
      </w:r>
      <w:bookmarkEnd w:id="65"/>
    </w:p>
    <w:p w14:paraId="2D0D8B36" w14:textId="5F0EE774" w:rsidR="00F62DBB" w:rsidRDefault="00BE0459">
      <w:r w:rsidRPr="00BE0459">
        <w:t xml:space="preserve">The Data Protection (Charges and Information) Regulations 2018 requires every organisation or sole trader who processes personal information to </w:t>
      </w:r>
      <w:r w:rsidR="00F62DBB">
        <w:t xml:space="preserve">notify with the ICO that they process personal data and </w:t>
      </w:r>
      <w:r w:rsidRPr="00BE0459">
        <w:t>pay a data protection fee, unless they are exempt.</w:t>
      </w:r>
      <w:r>
        <w:t xml:space="preserve"> For</w:t>
      </w:r>
      <w:r w:rsidR="00F62DBB">
        <w:t xml:space="preserve"> the Church as we are a charity we are only required to pay £40 (with a £5 discount for direct debit payment). The notification and fee should be made on an annual basis.  Congregations </w:t>
      </w:r>
      <w:r w:rsidR="00481841">
        <w:t>do not have to</w:t>
      </w:r>
      <w:r w:rsidR="00F62DBB">
        <w:t xml:space="preserve"> pay for the notification fee</w:t>
      </w:r>
      <w:r w:rsidR="00481841">
        <w:t xml:space="preserve">: </w:t>
      </w:r>
      <w:proofErr w:type="gramStart"/>
      <w:r w:rsidR="00F62DBB">
        <w:t>the</w:t>
      </w:r>
      <w:proofErr w:type="gramEnd"/>
      <w:r w:rsidR="00F62DBB">
        <w:t xml:space="preserve"> Presbytery acts as the controller and pays the notification fee which will cover all the </w:t>
      </w:r>
      <w:r w:rsidR="00481841">
        <w:t>c</w:t>
      </w:r>
      <w:r w:rsidR="00F62DBB">
        <w:t>ongregations within that Presbytery.</w:t>
      </w:r>
    </w:p>
    <w:sectPr w:rsidR="00F62DBB">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998B" w14:textId="77777777" w:rsidR="00256DC8" w:rsidRDefault="00256DC8" w:rsidP="00BE3CD6">
      <w:pPr>
        <w:spacing w:after="0" w:line="240" w:lineRule="auto"/>
      </w:pPr>
      <w:r>
        <w:separator/>
      </w:r>
    </w:p>
  </w:endnote>
  <w:endnote w:type="continuationSeparator" w:id="0">
    <w:p w14:paraId="1F8D5DD4" w14:textId="77777777" w:rsidR="00256DC8" w:rsidRDefault="00256DC8" w:rsidP="00BE3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391999"/>
      <w:docPartObj>
        <w:docPartGallery w:val="Page Numbers (Bottom of Page)"/>
        <w:docPartUnique/>
      </w:docPartObj>
    </w:sdtPr>
    <w:sdtEndPr>
      <w:rPr>
        <w:noProof/>
      </w:rPr>
    </w:sdtEndPr>
    <w:sdtContent>
      <w:p w14:paraId="67E41FA6" w14:textId="77777777" w:rsidR="00256DC8" w:rsidRDefault="00256DC8" w:rsidP="00BE3CD6">
        <w:pPr>
          <w:pStyle w:val="Footer"/>
        </w:pPr>
        <w:r>
          <w:t>Data Protection General Guidance for Congregations</w:t>
        </w:r>
        <w:r>
          <w:tab/>
        </w:r>
      </w:p>
      <w:p w14:paraId="359F1798" w14:textId="3F0393FE" w:rsidR="00256DC8" w:rsidRDefault="00256DC8">
        <w:pPr>
          <w:pStyle w:val="Footer"/>
          <w:jc w:val="right"/>
        </w:pPr>
        <w:r>
          <w:t>Version 2.</w:t>
        </w:r>
        <w:r w:rsidR="00544553">
          <w:t>0 October</w:t>
        </w:r>
        <w:r w:rsidR="00A80BAB">
          <w:t xml:space="preserve"> 2023</w:t>
        </w:r>
      </w:p>
      <w:p w14:paraId="3358F876" w14:textId="77777777" w:rsidR="00256DC8" w:rsidRDefault="00256DC8">
        <w:pPr>
          <w:pStyle w:val="Footer"/>
          <w:jc w:val="right"/>
        </w:pPr>
      </w:p>
      <w:p w14:paraId="7740A353" w14:textId="77777777" w:rsidR="00256DC8" w:rsidRDefault="00256D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C6ACE7" w14:textId="77777777" w:rsidR="00256DC8" w:rsidRDefault="00256DC8" w:rsidP="00BE3CD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3F195" w14:textId="77777777" w:rsidR="00256DC8" w:rsidRDefault="00256DC8" w:rsidP="00BE3CD6">
      <w:pPr>
        <w:spacing w:after="0" w:line="240" w:lineRule="auto"/>
      </w:pPr>
      <w:r>
        <w:separator/>
      </w:r>
    </w:p>
  </w:footnote>
  <w:footnote w:type="continuationSeparator" w:id="0">
    <w:p w14:paraId="2831293E" w14:textId="77777777" w:rsidR="00256DC8" w:rsidRDefault="00256DC8" w:rsidP="00BE3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9E36" w14:textId="77777777" w:rsidR="00256DC8" w:rsidRDefault="00256DC8">
    <w:pPr>
      <w:pStyle w:val="Header"/>
    </w:pPr>
    <w:r>
      <w:rPr>
        <w:noProof/>
      </w:rPr>
      <w:drawing>
        <wp:inline distT="0" distB="0" distL="0" distR="0" wp14:anchorId="3C243146" wp14:editId="53831E80">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87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34"/>
    <w:multiLevelType w:val="hybridMultilevel"/>
    <w:tmpl w:val="9E76BA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535716"/>
    <w:multiLevelType w:val="hybridMultilevel"/>
    <w:tmpl w:val="59F20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E020AF"/>
    <w:multiLevelType w:val="multilevel"/>
    <w:tmpl w:val="2B3C1C62"/>
    <w:lvl w:ilvl="0">
      <w:start w:val="1"/>
      <w:numFmt w:val="decimal"/>
      <w:lvlText w:val="%1."/>
      <w:lvlJc w:val="left"/>
      <w:pPr>
        <w:ind w:left="360" w:hanging="360"/>
      </w:pPr>
    </w:lvl>
    <w:lvl w:ilvl="1">
      <w:start w:val="1"/>
      <w:numFmt w:val="decimal"/>
      <w:lvlText w:val="%1.%2."/>
      <w:lvlJc w:val="left"/>
      <w:pPr>
        <w:ind w:left="792" w:hanging="432"/>
      </w:pPr>
      <w:rPr>
        <w:color w:val="2F5496"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847CF3"/>
    <w:multiLevelType w:val="multilevel"/>
    <w:tmpl w:val="7B94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30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854"/>
    <w:multiLevelType w:val="hybridMultilevel"/>
    <w:tmpl w:val="1862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835FA"/>
    <w:multiLevelType w:val="hybridMultilevel"/>
    <w:tmpl w:val="007E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93BAF"/>
    <w:multiLevelType w:val="multilevel"/>
    <w:tmpl w:val="3B523B60"/>
    <w:lvl w:ilvl="0">
      <w:start w:val="1"/>
      <w:numFmt w:val="decimal"/>
      <w:lvlText w:val="%1."/>
      <w:lvlJc w:val="left"/>
      <w:pPr>
        <w:ind w:left="360" w:hanging="360"/>
      </w:pPr>
    </w:lvl>
    <w:lvl w:ilvl="1">
      <w:start w:val="1"/>
      <w:numFmt w:val="decimal"/>
      <w:lvlText w:val="%1.%2."/>
      <w:lvlJc w:val="left"/>
      <w:pPr>
        <w:ind w:left="792" w:hanging="432"/>
      </w:pPr>
      <w:rPr>
        <w:rFonts w:hint="default"/>
        <w:color w:val="2F5496"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A225A"/>
    <w:multiLevelType w:val="hybridMultilevel"/>
    <w:tmpl w:val="1EB2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249E8"/>
    <w:multiLevelType w:val="hybridMultilevel"/>
    <w:tmpl w:val="D59A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27904"/>
    <w:multiLevelType w:val="hybridMultilevel"/>
    <w:tmpl w:val="D082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02CDE"/>
    <w:multiLevelType w:val="multilevel"/>
    <w:tmpl w:val="DB76B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3427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652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625DB7"/>
    <w:multiLevelType w:val="hybridMultilevel"/>
    <w:tmpl w:val="E1CC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251BE"/>
    <w:multiLevelType w:val="hybridMultilevel"/>
    <w:tmpl w:val="60E6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9194A"/>
    <w:multiLevelType w:val="hybridMultilevel"/>
    <w:tmpl w:val="C444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52E35"/>
    <w:multiLevelType w:val="hybridMultilevel"/>
    <w:tmpl w:val="EB34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D539F"/>
    <w:multiLevelType w:val="hybridMultilevel"/>
    <w:tmpl w:val="69B4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4856F4"/>
    <w:multiLevelType w:val="hybridMultilevel"/>
    <w:tmpl w:val="7FA8D070"/>
    <w:lvl w:ilvl="0" w:tplc="0C124C8C">
      <w:start w:val="1"/>
      <w:numFmt w:val="lowerLetter"/>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D9D45D7"/>
    <w:multiLevelType w:val="hybridMultilevel"/>
    <w:tmpl w:val="1C98526A"/>
    <w:lvl w:ilvl="0" w:tplc="5F5CE2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3524F7"/>
    <w:multiLevelType w:val="multilevel"/>
    <w:tmpl w:val="B6CA1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FD20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897154"/>
    <w:multiLevelType w:val="hybridMultilevel"/>
    <w:tmpl w:val="C4A81610"/>
    <w:lvl w:ilvl="0" w:tplc="C798CDA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E95019"/>
    <w:multiLevelType w:val="hybridMultilevel"/>
    <w:tmpl w:val="22382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EF090C"/>
    <w:multiLevelType w:val="hybridMultilevel"/>
    <w:tmpl w:val="7A2435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52F7A48"/>
    <w:multiLevelType w:val="hybridMultilevel"/>
    <w:tmpl w:val="BAF4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76977"/>
    <w:multiLevelType w:val="hybridMultilevel"/>
    <w:tmpl w:val="8E804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3538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38783F"/>
    <w:multiLevelType w:val="hybridMultilevel"/>
    <w:tmpl w:val="B9965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E81C3C"/>
    <w:multiLevelType w:val="hybridMultilevel"/>
    <w:tmpl w:val="DF3EC888"/>
    <w:lvl w:ilvl="0" w:tplc="C798CDA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8"/>
  </w:num>
  <w:num w:numId="5">
    <w:abstractNumId w:val="12"/>
  </w:num>
  <w:num w:numId="6">
    <w:abstractNumId w:val="29"/>
  </w:num>
  <w:num w:numId="7">
    <w:abstractNumId w:val="0"/>
  </w:num>
  <w:num w:numId="8">
    <w:abstractNumId w:val="28"/>
  </w:num>
  <w:num w:numId="9">
    <w:abstractNumId w:val="2"/>
  </w:num>
  <w:num w:numId="10">
    <w:abstractNumId w:val="15"/>
  </w:num>
  <w:num w:numId="11">
    <w:abstractNumId w:val="18"/>
  </w:num>
  <w:num w:numId="12">
    <w:abstractNumId w:val="20"/>
  </w:num>
  <w:num w:numId="13">
    <w:abstractNumId w:val="27"/>
  </w:num>
  <w:num w:numId="14">
    <w:abstractNumId w:val="9"/>
  </w:num>
  <w:num w:numId="15">
    <w:abstractNumId w:val="24"/>
  </w:num>
  <w:num w:numId="16">
    <w:abstractNumId w:val="1"/>
  </w:num>
  <w:num w:numId="17">
    <w:abstractNumId w:val="23"/>
  </w:num>
  <w:num w:numId="18">
    <w:abstractNumId w:val="13"/>
  </w:num>
  <w:num w:numId="19">
    <w:abstractNumId w:val="4"/>
  </w:num>
  <w:num w:numId="20">
    <w:abstractNumId w:val="14"/>
  </w:num>
  <w:num w:numId="21">
    <w:abstractNumId w:val="26"/>
  </w:num>
  <w:num w:numId="22">
    <w:abstractNumId w:val="3"/>
  </w:num>
  <w:num w:numId="23">
    <w:abstractNumId w:val="11"/>
  </w:num>
  <w:num w:numId="24">
    <w:abstractNumId w:val="21"/>
  </w:num>
  <w:num w:numId="25">
    <w:abstractNumId w:val="16"/>
  </w:num>
  <w:num w:numId="26">
    <w:abstractNumId w:val="25"/>
  </w:num>
  <w:num w:numId="27">
    <w:abstractNumId w:val="10"/>
  </w:num>
  <w:num w:numId="28">
    <w:abstractNumId w:val="17"/>
  </w:num>
  <w:num w:numId="29">
    <w:abstractNumId w:val="30"/>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F2"/>
    <w:rsid w:val="0000402B"/>
    <w:rsid w:val="00016060"/>
    <w:rsid w:val="0004137C"/>
    <w:rsid w:val="00050437"/>
    <w:rsid w:val="00057FE5"/>
    <w:rsid w:val="0008683F"/>
    <w:rsid w:val="000A19BA"/>
    <w:rsid w:val="000C07FC"/>
    <w:rsid w:val="000F5EFA"/>
    <w:rsid w:val="00122AB6"/>
    <w:rsid w:val="00132C8A"/>
    <w:rsid w:val="001409DB"/>
    <w:rsid w:val="001531FA"/>
    <w:rsid w:val="0016595F"/>
    <w:rsid w:val="00194897"/>
    <w:rsid w:val="001F2B4A"/>
    <w:rsid w:val="00256DC8"/>
    <w:rsid w:val="0027285F"/>
    <w:rsid w:val="002802A8"/>
    <w:rsid w:val="002917FE"/>
    <w:rsid w:val="0029368C"/>
    <w:rsid w:val="002A160D"/>
    <w:rsid w:val="002C5032"/>
    <w:rsid w:val="002D7419"/>
    <w:rsid w:val="00330433"/>
    <w:rsid w:val="00351656"/>
    <w:rsid w:val="00367945"/>
    <w:rsid w:val="00374AF6"/>
    <w:rsid w:val="003C15A0"/>
    <w:rsid w:val="003C4824"/>
    <w:rsid w:val="003E5840"/>
    <w:rsid w:val="0044589E"/>
    <w:rsid w:val="004517B0"/>
    <w:rsid w:val="00452EDC"/>
    <w:rsid w:val="00481841"/>
    <w:rsid w:val="004C105D"/>
    <w:rsid w:val="004E3670"/>
    <w:rsid w:val="004F4F67"/>
    <w:rsid w:val="0052596F"/>
    <w:rsid w:val="0053470A"/>
    <w:rsid w:val="00544553"/>
    <w:rsid w:val="005548F1"/>
    <w:rsid w:val="005607B2"/>
    <w:rsid w:val="005A5E95"/>
    <w:rsid w:val="005B7370"/>
    <w:rsid w:val="005F2275"/>
    <w:rsid w:val="006034AA"/>
    <w:rsid w:val="00613D60"/>
    <w:rsid w:val="00630963"/>
    <w:rsid w:val="00646696"/>
    <w:rsid w:val="006534BC"/>
    <w:rsid w:val="00656C9F"/>
    <w:rsid w:val="00682755"/>
    <w:rsid w:val="006B221A"/>
    <w:rsid w:val="006C44C5"/>
    <w:rsid w:val="006D6756"/>
    <w:rsid w:val="006F4148"/>
    <w:rsid w:val="00720CF5"/>
    <w:rsid w:val="0072764B"/>
    <w:rsid w:val="007432EA"/>
    <w:rsid w:val="007452E9"/>
    <w:rsid w:val="00753B48"/>
    <w:rsid w:val="00761315"/>
    <w:rsid w:val="00767EC7"/>
    <w:rsid w:val="00794574"/>
    <w:rsid w:val="007C10E9"/>
    <w:rsid w:val="007D0F27"/>
    <w:rsid w:val="007E7654"/>
    <w:rsid w:val="00832D99"/>
    <w:rsid w:val="00834E34"/>
    <w:rsid w:val="008445AA"/>
    <w:rsid w:val="00855E31"/>
    <w:rsid w:val="00860289"/>
    <w:rsid w:val="00862B00"/>
    <w:rsid w:val="00876DB1"/>
    <w:rsid w:val="008856F1"/>
    <w:rsid w:val="00892606"/>
    <w:rsid w:val="008A34DF"/>
    <w:rsid w:val="008D67F9"/>
    <w:rsid w:val="008E6DF2"/>
    <w:rsid w:val="009075C1"/>
    <w:rsid w:val="00922356"/>
    <w:rsid w:val="00925915"/>
    <w:rsid w:val="00937340"/>
    <w:rsid w:val="00941BAA"/>
    <w:rsid w:val="00995472"/>
    <w:rsid w:val="009A118E"/>
    <w:rsid w:val="009D010B"/>
    <w:rsid w:val="009F1E38"/>
    <w:rsid w:val="00A00D83"/>
    <w:rsid w:val="00A06F65"/>
    <w:rsid w:val="00A7726E"/>
    <w:rsid w:val="00A80BAB"/>
    <w:rsid w:val="00AD033D"/>
    <w:rsid w:val="00AE62C7"/>
    <w:rsid w:val="00B00352"/>
    <w:rsid w:val="00B82DD4"/>
    <w:rsid w:val="00BE0459"/>
    <w:rsid w:val="00BE1203"/>
    <w:rsid w:val="00BE3CD6"/>
    <w:rsid w:val="00C2579B"/>
    <w:rsid w:val="00C51EEF"/>
    <w:rsid w:val="00C755A6"/>
    <w:rsid w:val="00C80B21"/>
    <w:rsid w:val="00C853AE"/>
    <w:rsid w:val="00CA1CEC"/>
    <w:rsid w:val="00CC54C2"/>
    <w:rsid w:val="00CD7264"/>
    <w:rsid w:val="00CE0043"/>
    <w:rsid w:val="00D21028"/>
    <w:rsid w:val="00D53ED4"/>
    <w:rsid w:val="00D92760"/>
    <w:rsid w:val="00DB1DA8"/>
    <w:rsid w:val="00E02109"/>
    <w:rsid w:val="00E1142D"/>
    <w:rsid w:val="00E16C26"/>
    <w:rsid w:val="00E176BB"/>
    <w:rsid w:val="00E2369B"/>
    <w:rsid w:val="00E765DD"/>
    <w:rsid w:val="00EA6A36"/>
    <w:rsid w:val="00EE5041"/>
    <w:rsid w:val="00F370F5"/>
    <w:rsid w:val="00F53CDB"/>
    <w:rsid w:val="00F62DBB"/>
    <w:rsid w:val="00F73B56"/>
    <w:rsid w:val="00F81843"/>
    <w:rsid w:val="00F914EF"/>
    <w:rsid w:val="00FA3094"/>
    <w:rsid w:val="00FB243B"/>
    <w:rsid w:val="00FE2DE2"/>
    <w:rsid w:val="00FF5F28"/>
    <w:rsid w:val="00FF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01E77"/>
  <w15:chartTrackingRefBased/>
  <w15:docId w15:val="{882B351E-0529-4C8C-9FEA-412EF5D5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6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A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D6"/>
  </w:style>
  <w:style w:type="paragraph" w:styleId="Footer">
    <w:name w:val="footer"/>
    <w:basedOn w:val="Normal"/>
    <w:link w:val="FooterChar"/>
    <w:uiPriority w:val="99"/>
    <w:unhideWhenUsed/>
    <w:rsid w:val="00BE3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D6"/>
  </w:style>
  <w:style w:type="character" w:customStyle="1" w:styleId="Heading1Char">
    <w:name w:val="Heading 1 Char"/>
    <w:basedOn w:val="DefaultParagraphFont"/>
    <w:link w:val="Heading1"/>
    <w:uiPriority w:val="9"/>
    <w:rsid w:val="0064669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46696"/>
    <w:pPr>
      <w:ind w:left="720"/>
      <w:contextualSpacing/>
    </w:pPr>
  </w:style>
  <w:style w:type="paragraph" w:styleId="TOCHeading">
    <w:name w:val="TOC Heading"/>
    <w:basedOn w:val="Heading1"/>
    <w:next w:val="Normal"/>
    <w:uiPriority w:val="39"/>
    <w:unhideWhenUsed/>
    <w:qFormat/>
    <w:rsid w:val="00646696"/>
    <w:pPr>
      <w:outlineLvl w:val="9"/>
    </w:pPr>
    <w:rPr>
      <w:lang w:val="en-US"/>
    </w:rPr>
  </w:style>
  <w:style w:type="paragraph" w:styleId="TOC1">
    <w:name w:val="toc 1"/>
    <w:basedOn w:val="Normal"/>
    <w:next w:val="Normal"/>
    <w:autoRedefine/>
    <w:uiPriority w:val="39"/>
    <w:unhideWhenUsed/>
    <w:rsid w:val="00646696"/>
    <w:pPr>
      <w:spacing w:after="100"/>
    </w:pPr>
  </w:style>
  <w:style w:type="character" w:styleId="Hyperlink">
    <w:name w:val="Hyperlink"/>
    <w:basedOn w:val="DefaultParagraphFont"/>
    <w:uiPriority w:val="99"/>
    <w:unhideWhenUsed/>
    <w:rsid w:val="00646696"/>
    <w:rPr>
      <w:color w:val="0563C1" w:themeColor="hyperlink"/>
      <w:u w:val="single"/>
    </w:rPr>
  </w:style>
  <w:style w:type="character" w:styleId="CommentReference">
    <w:name w:val="annotation reference"/>
    <w:basedOn w:val="DefaultParagraphFont"/>
    <w:uiPriority w:val="99"/>
    <w:semiHidden/>
    <w:unhideWhenUsed/>
    <w:rsid w:val="0000402B"/>
    <w:rPr>
      <w:sz w:val="16"/>
      <w:szCs w:val="16"/>
    </w:rPr>
  </w:style>
  <w:style w:type="paragraph" w:styleId="CommentText">
    <w:name w:val="annotation text"/>
    <w:basedOn w:val="Normal"/>
    <w:link w:val="CommentTextChar"/>
    <w:uiPriority w:val="99"/>
    <w:semiHidden/>
    <w:unhideWhenUsed/>
    <w:rsid w:val="0000402B"/>
    <w:pPr>
      <w:spacing w:line="240" w:lineRule="auto"/>
    </w:pPr>
    <w:rPr>
      <w:sz w:val="20"/>
      <w:szCs w:val="20"/>
    </w:rPr>
  </w:style>
  <w:style w:type="character" w:customStyle="1" w:styleId="CommentTextChar">
    <w:name w:val="Comment Text Char"/>
    <w:basedOn w:val="DefaultParagraphFont"/>
    <w:link w:val="CommentText"/>
    <w:uiPriority w:val="99"/>
    <w:semiHidden/>
    <w:rsid w:val="0000402B"/>
    <w:rPr>
      <w:sz w:val="20"/>
      <w:szCs w:val="20"/>
    </w:rPr>
  </w:style>
  <w:style w:type="paragraph" w:styleId="CommentSubject">
    <w:name w:val="annotation subject"/>
    <w:basedOn w:val="CommentText"/>
    <w:next w:val="CommentText"/>
    <w:link w:val="CommentSubjectChar"/>
    <w:uiPriority w:val="99"/>
    <w:semiHidden/>
    <w:unhideWhenUsed/>
    <w:rsid w:val="0000402B"/>
    <w:rPr>
      <w:b/>
      <w:bCs/>
    </w:rPr>
  </w:style>
  <w:style w:type="character" w:customStyle="1" w:styleId="CommentSubjectChar">
    <w:name w:val="Comment Subject Char"/>
    <w:basedOn w:val="CommentTextChar"/>
    <w:link w:val="CommentSubject"/>
    <w:uiPriority w:val="99"/>
    <w:semiHidden/>
    <w:rsid w:val="0000402B"/>
    <w:rPr>
      <w:b/>
      <w:bCs/>
      <w:sz w:val="20"/>
      <w:szCs w:val="20"/>
    </w:rPr>
  </w:style>
  <w:style w:type="paragraph" w:styleId="BalloonText">
    <w:name w:val="Balloon Text"/>
    <w:basedOn w:val="Normal"/>
    <w:link w:val="BalloonTextChar"/>
    <w:uiPriority w:val="99"/>
    <w:semiHidden/>
    <w:unhideWhenUsed/>
    <w:rsid w:val="00004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02B"/>
    <w:rPr>
      <w:rFonts w:ascii="Segoe UI" w:hAnsi="Segoe UI" w:cs="Segoe UI"/>
      <w:sz w:val="18"/>
      <w:szCs w:val="18"/>
    </w:rPr>
  </w:style>
  <w:style w:type="character" w:customStyle="1" w:styleId="Heading2Char">
    <w:name w:val="Heading 2 Char"/>
    <w:basedOn w:val="DefaultParagraphFont"/>
    <w:link w:val="Heading2"/>
    <w:uiPriority w:val="9"/>
    <w:rsid w:val="00374AF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2B00"/>
    <w:pPr>
      <w:spacing w:after="100"/>
      <w:ind w:left="220"/>
    </w:pPr>
  </w:style>
  <w:style w:type="character" w:styleId="UnresolvedMention">
    <w:name w:val="Unresolved Mention"/>
    <w:basedOn w:val="DefaultParagraphFont"/>
    <w:uiPriority w:val="99"/>
    <w:semiHidden/>
    <w:unhideWhenUsed/>
    <w:rsid w:val="0044589E"/>
    <w:rPr>
      <w:color w:val="605E5C"/>
      <w:shd w:val="clear" w:color="auto" w:fill="E1DFDD"/>
    </w:rPr>
  </w:style>
  <w:style w:type="character" w:styleId="FollowedHyperlink">
    <w:name w:val="FollowedHyperlink"/>
    <w:basedOn w:val="DefaultParagraphFont"/>
    <w:uiPriority w:val="99"/>
    <w:semiHidden/>
    <w:unhideWhenUsed/>
    <w:rsid w:val="00E765DD"/>
    <w:rPr>
      <w:color w:val="954F72" w:themeColor="followedHyperlink"/>
      <w:u w:val="single"/>
    </w:rPr>
  </w:style>
  <w:style w:type="paragraph" w:styleId="Revision">
    <w:name w:val="Revision"/>
    <w:hidden/>
    <w:uiPriority w:val="99"/>
    <w:semiHidden/>
    <w:rsid w:val="00D927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11123">
      <w:bodyDiv w:val="1"/>
      <w:marLeft w:val="0"/>
      <w:marRight w:val="0"/>
      <w:marTop w:val="0"/>
      <w:marBottom w:val="0"/>
      <w:divBdr>
        <w:top w:val="none" w:sz="0" w:space="0" w:color="auto"/>
        <w:left w:val="none" w:sz="0" w:space="0" w:color="auto"/>
        <w:bottom w:val="none" w:sz="0" w:space="0" w:color="auto"/>
        <w:right w:val="none" w:sz="0" w:space="0" w:color="auto"/>
      </w:divBdr>
    </w:div>
    <w:div w:id="729229941">
      <w:bodyDiv w:val="1"/>
      <w:marLeft w:val="0"/>
      <w:marRight w:val="0"/>
      <w:marTop w:val="0"/>
      <w:marBottom w:val="0"/>
      <w:divBdr>
        <w:top w:val="none" w:sz="0" w:space="0" w:color="auto"/>
        <w:left w:val="none" w:sz="0" w:space="0" w:color="auto"/>
        <w:bottom w:val="none" w:sz="0" w:space="0" w:color="auto"/>
        <w:right w:val="none" w:sz="0" w:space="0" w:color="auto"/>
      </w:divBdr>
    </w:div>
    <w:div w:id="1829666691">
      <w:bodyDiv w:val="1"/>
      <w:marLeft w:val="0"/>
      <w:marRight w:val="0"/>
      <w:marTop w:val="0"/>
      <w:marBottom w:val="0"/>
      <w:divBdr>
        <w:top w:val="none" w:sz="0" w:space="0" w:color="auto"/>
        <w:left w:val="none" w:sz="0" w:space="0" w:color="auto"/>
        <w:bottom w:val="none" w:sz="0" w:space="0" w:color="auto"/>
        <w:right w:val="none" w:sz="0" w:space="0" w:color="auto"/>
      </w:divBdr>
    </w:div>
    <w:div w:id="18818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irect-marketing-and-privacy-and-electronic-communications/guide-to-pecr/guidance-on-the-use-of-cookies-and-similar-technologies/" TargetMode="External"/><Relationship Id="rId13" Type="http://schemas.openxmlformats.org/officeDocument/2006/relationships/hyperlink" Target="https://www.churchofscotland.org.uk/__data/assets/file/0007/117286/Consent-Guidance-for-congregations.pdf" TargetMode="External"/><Relationship Id="rId18" Type="http://schemas.openxmlformats.org/officeDocument/2006/relationships/hyperlink" Target="mailto:Privacy@churchofscotland.org.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hurchofscotland.org.uk/__data/assets/word_doc/0008/49229/consent-form-update-2024.docx" TargetMode="External"/><Relationship Id="rId17" Type="http://schemas.openxmlformats.org/officeDocument/2006/relationships/hyperlink" Target="mailto:Privacy@churchofscotland.org.uk" TargetMode="External"/><Relationship Id="rId2" Type="http://schemas.openxmlformats.org/officeDocument/2006/relationships/numbering" Target="numbering.xml"/><Relationship Id="rId16" Type="http://schemas.openxmlformats.org/officeDocument/2006/relationships/hyperlink" Target="https://www.churchofscotland.org.uk/__data/assets/word_doc/0008/28844/revised-breach-notification-form-for-congregations-and-presbyteries.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urchofscotland.org.uk/__data/assets/word_doc/0006/113568/legitimate_interests_assessment_for_congregations-2023-update.doc" TargetMode="External"/><Relationship Id="rId5" Type="http://schemas.openxmlformats.org/officeDocument/2006/relationships/webSettings" Target="webSettings.xml"/><Relationship Id="rId15" Type="http://schemas.openxmlformats.org/officeDocument/2006/relationships/hyperlink" Target="https://www.churchofscotland.org.uk/__data/assets/word_doc/0004/49234/data-protection-breach-incident-management-policy-presbyteries-update-november-2023.docx" TargetMode="External"/><Relationship Id="rId23" Type="http://schemas.openxmlformats.org/officeDocument/2006/relationships/theme" Target="theme/theme1.xml"/><Relationship Id="rId10" Type="http://schemas.openxmlformats.org/officeDocument/2006/relationships/hyperlink" Target="https://www.churchofscotland.org.uk/__data/assets/word_doc/0008/49229/consent-form-update-2024.docx" TargetMode="External"/><Relationship Id="rId19" Type="http://schemas.openxmlformats.org/officeDocument/2006/relationships/hyperlink" Target="mailto:Privacy@churchofscotland.org.uk" TargetMode="External"/><Relationship Id="rId4" Type="http://schemas.openxmlformats.org/officeDocument/2006/relationships/settings" Target="settings.xml"/><Relationship Id="rId9" Type="http://schemas.openxmlformats.org/officeDocument/2006/relationships/hyperlink" Target="mailto:LAWDEPT@churchofscotland.org.uk" TargetMode="External"/><Relationship Id="rId14" Type="http://schemas.openxmlformats.org/officeDocument/2006/relationships/hyperlink" Target="https://ico.org.uk/for-organisations/uk-gdpr-guidance-and-resources/lawful-basis/conse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06A2-6A3F-4A82-8CDA-FE4AAB4E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18</Pages>
  <Words>8035</Words>
  <Characters>45804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53732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Alice</dc:creator>
  <cp:keywords/>
  <dc:description/>
  <cp:lastModifiedBy>Wilson, Alice</cp:lastModifiedBy>
  <cp:revision>11</cp:revision>
  <dcterms:created xsi:type="dcterms:W3CDTF">2023-09-29T07:51:00Z</dcterms:created>
  <dcterms:modified xsi:type="dcterms:W3CDTF">2024-01-29T11:13:00Z</dcterms:modified>
</cp:coreProperties>
</file>